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line="360" w:lineRule="auto" w:before="1200" w:after="600"/>
        <w:jc w:val="center"/>
      </w:pPr>
      <w:r>
        <w:rPr>
          <w:rFonts w:ascii="Times New Roman" w:hAnsi="Times New Roman" w:eastAsia="黑体"/>
          <w:b/>
          <w:i w:val="0"/>
          <w:sz w:val="28"/>
        </w:rPr>
        <w:t>教育信息技术学院</w:t>
      </w:r>
    </w:p>
    <w:p>
      <w:pPr>
        <w:spacing w:line="360" w:lineRule="auto" w:before="600" w:after="1200"/>
        <w:jc w:val="center"/>
      </w:pPr>
      <w:r>
        <w:rPr>
          <w:rFonts w:ascii="Times New Roman" w:hAnsi="Times New Roman" w:eastAsia="黑体"/>
          <w:b/>
          <w:i w:val="0"/>
          <w:sz w:val="28"/>
        </w:rPr>
        <w:t>本科毕业论文（设计）</w:t>
      </w:r>
    </w:p>
    <w:p>
      <w:pPr>
        <w:spacing w:line="360" w:lineRule="auto" w:before="360" w:after="360"/>
        <w:jc w:val="center"/>
      </w:pPr>
      <w:r>
        <w:rPr>
          <w:rFonts w:ascii="Times New Roman" w:hAnsi="Times New Roman" w:eastAsia="黑体"/>
          <w:b/>
          <w:i w:val="0"/>
          <w:sz w:val="32"/>
        </w:rPr>
        <w:t>人工智能在教育领域的应用研究</w:t>
      </w:r>
    </w:p>
    <w:tbl>
      <w:tblPr>
        <w:tblW w:type="auto" w:w="0"/>
        <w:jc w:val="center"/>
        <w:tblLook w:firstColumn="1" w:firstRow="1" w:lastColumn="0" w:lastRow="0" w:noHBand="0" w:noVBand="1" w:val="04A0"/>
      </w:tblPr>
      <w:tblGrid>
        <w:gridCol w:w="4156"/>
        <w:gridCol w:w="4156"/>
      </w:tblGrid>
      <w:tr>
        <w:tc>
          <w:tcPr>
            <w:tcW w:type="dxa" w:w="4156"/>
            <w:vAlign w:val="center"/>
          </w:tcPr>
          <w:p>
            <w:pPr>
              <w:jc w:val="center"/>
            </w:pPr>
            <w:r>
              <w:rPr>
                <w:rFonts w:ascii="Times New Roman" w:hAnsi="Times New Roman" w:eastAsia="宋体"/>
                <w:b w:val="0"/>
                <w:i w:val="0"/>
                <w:sz w:val="24"/>
              </w:rPr>
              <w:t>学    院</w:t>
            </w:r>
          </w:p>
        </w:tc>
        <w:tc>
          <w:tcPr>
            <w:tcW w:type="dxa" w:w="4156"/>
            <w:vAlign w:val="center"/>
          </w:tcPr>
          <w:p>
            <w:pPr>
              <w:jc w:val="center"/>
            </w:pPr>
            <w:r>
              <w:rPr>
                <w:rFonts w:ascii="Times New Roman" w:hAnsi="Times New Roman" w:eastAsia="宋体"/>
                <w:b w:val="0"/>
                <w:i w:val="0"/>
                <w:sz w:val="24"/>
              </w:rPr>
              <w:t>教育信息技术学院</w:t>
            </w:r>
          </w:p>
        </w:tc>
      </w:tr>
      <w:tr>
        <w:tc>
          <w:tcPr>
            <w:tcW w:type="dxa" w:w="4156"/>
            <w:vAlign w:val="center"/>
          </w:tcPr>
          <w:p>
            <w:pPr>
              <w:jc w:val="center"/>
            </w:pPr>
            <w:r>
              <w:rPr>
                <w:rFonts w:ascii="Times New Roman" w:hAnsi="Times New Roman" w:eastAsia="宋体"/>
                <w:b w:val="0"/>
                <w:i w:val="0"/>
                <w:sz w:val="24"/>
              </w:rPr>
              <w:t>专    业</w:t>
            </w:r>
          </w:p>
        </w:tc>
        <w:tc>
          <w:tcPr>
            <w:tcW w:type="dxa" w:w="4156"/>
            <w:vAlign w:val="center"/>
          </w:tcPr>
          <w:p>
            <w:pPr>
              <w:jc w:val="center"/>
            </w:pPr>
            <w:r>
              <w:rPr>
                <w:rFonts w:ascii="Times New Roman" w:hAnsi="Times New Roman" w:eastAsia="宋体"/>
                <w:b w:val="0"/>
                <w:i w:val="0"/>
                <w:sz w:val="24"/>
              </w:rPr>
              <w:t>教育技术学</w:t>
            </w:r>
          </w:p>
        </w:tc>
      </w:tr>
      <w:tr>
        <w:tc>
          <w:tcPr>
            <w:tcW w:type="dxa" w:w="4156"/>
            <w:vAlign w:val="center"/>
          </w:tcPr>
          <w:p>
            <w:pPr>
              <w:jc w:val="center"/>
            </w:pPr>
            <w:r>
              <w:rPr>
                <w:rFonts w:ascii="Times New Roman" w:hAnsi="Times New Roman" w:eastAsia="宋体"/>
                <w:b w:val="0"/>
                <w:i w:val="0"/>
                <w:sz w:val="24"/>
              </w:rPr>
              <w:t>年    级</w:t>
            </w:r>
          </w:p>
        </w:tc>
        <w:tc>
          <w:tcPr>
            <w:tcW w:type="dxa" w:w="4156"/>
            <w:vAlign w:val="center"/>
          </w:tcPr>
          <w:p>
            <w:pPr>
              <w:jc w:val="center"/>
            </w:pPr>
            <w:r>
              <w:rPr>
                <w:rFonts w:ascii="Times New Roman" w:hAnsi="Times New Roman" w:eastAsia="宋体"/>
                <w:b w:val="0"/>
                <w:i w:val="0"/>
                <w:sz w:val="24"/>
              </w:rPr>
            </w:r>
          </w:p>
        </w:tc>
      </w:tr>
      <w:tr>
        <w:tc>
          <w:tcPr>
            <w:tcW w:type="dxa" w:w="4156"/>
            <w:vAlign w:val="center"/>
          </w:tcPr>
          <w:p>
            <w:pPr>
              <w:jc w:val="center"/>
            </w:pPr>
            <w:r>
              <w:rPr>
                <w:rFonts w:ascii="Times New Roman" w:hAnsi="Times New Roman" w:eastAsia="宋体"/>
                <w:b w:val="0"/>
                <w:i w:val="0"/>
                <w:sz w:val="24"/>
              </w:rPr>
              <w:t>姓    名</w:t>
            </w:r>
          </w:p>
        </w:tc>
        <w:tc>
          <w:tcPr>
            <w:tcW w:type="dxa" w:w="4156"/>
            <w:vAlign w:val="center"/>
          </w:tcPr>
          <w:p>
            <w:pPr>
              <w:jc w:val="center"/>
            </w:pPr>
            <w:r>
              <w:rPr>
                <w:rFonts w:ascii="Times New Roman" w:hAnsi="Times New Roman" w:eastAsia="宋体"/>
                <w:b w:val="0"/>
                <w:i w:val="0"/>
                <w:sz w:val="24"/>
              </w:rPr>
              <w:t>张明</w:t>
            </w:r>
          </w:p>
        </w:tc>
      </w:tr>
      <w:tr>
        <w:tc>
          <w:tcPr>
            <w:tcW w:type="dxa" w:w="4156"/>
            <w:vAlign w:val="center"/>
          </w:tcPr>
          <w:p>
            <w:pPr>
              <w:jc w:val="center"/>
            </w:pPr>
            <w:r>
              <w:rPr>
                <w:rFonts w:ascii="Times New Roman" w:hAnsi="Times New Roman" w:eastAsia="宋体"/>
                <w:b w:val="0"/>
                <w:i w:val="0"/>
                <w:sz w:val="24"/>
              </w:rPr>
              <w:t>学    号</w:t>
            </w:r>
          </w:p>
        </w:tc>
        <w:tc>
          <w:tcPr>
            <w:tcW w:type="dxa" w:w="4156"/>
            <w:vAlign w:val="center"/>
          </w:tcPr>
          <w:p>
            <w:pPr>
              <w:jc w:val="center"/>
            </w:pPr>
            <w:r>
              <w:rPr>
                <w:rFonts w:ascii="Times New Roman" w:hAnsi="Times New Roman" w:eastAsia="宋体"/>
                <w:b w:val="0"/>
                <w:i w:val="0"/>
                <w:sz w:val="24"/>
              </w:rPr>
              <w:t>20211000001</w:t>
            </w:r>
          </w:p>
        </w:tc>
      </w:tr>
      <w:tr>
        <w:tc>
          <w:tcPr>
            <w:tcW w:type="dxa" w:w="4156"/>
            <w:vAlign w:val="center"/>
          </w:tcPr>
          <w:p>
            <w:pPr>
              <w:jc w:val="center"/>
            </w:pPr>
            <w:r>
              <w:rPr>
                <w:rFonts w:ascii="Times New Roman" w:hAnsi="Times New Roman" w:eastAsia="宋体"/>
                <w:b w:val="0"/>
                <w:i w:val="0"/>
                <w:sz w:val="24"/>
              </w:rPr>
              <w:t>指导教师</w:t>
            </w:r>
          </w:p>
        </w:tc>
        <w:tc>
          <w:tcPr>
            <w:tcW w:type="dxa" w:w="4156"/>
            <w:vAlign w:val="center"/>
          </w:tcPr>
          <w:p>
            <w:pPr>
              <w:jc w:val="center"/>
            </w:pPr>
            <w:r>
              <w:rPr>
                <w:rFonts w:ascii="Times New Roman" w:hAnsi="Times New Roman" w:eastAsia="宋体"/>
                <w:b w:val="0"/>
                <w:i w:val="0"/>
                <w:sz w:val="24"/>
              </w:rPr>
              <w:t>李教授</w:t>
            </w:r>
          </w:p>
        </w:tc>
      </w:tr>
    </w:tbl>
    <w:p>
      <w:pPr>
        <w:spacing w:line="360" w:lineRule="auto" w:before="1200" w:after="0"/>
        <w:jc w:val="center"/>
      </w:pPr>
      <w:r>
        <w:rPr>
          <w:rFonts w:ascii="Times New Roman" w:hAnsi="Times New Roman" w:eastAsia="宋体"/>
          <w:b w:val="0"/>
          <w:i w:val="0"/>
          <w:sz w:val="24"/>
        </w:rPr>
        <w:t>2025年3月</w:t>
      </w:r>
    </w:p>
    <w:p>
      <w:r>
        <w:br w:type="page"/>
      </w:r>
    </w:p>
    <w:p>
      <w:pPr>
        <w:sectPr>
          <w:footerReference w:type="default" r:id="rId9"/>
          <w:pgSz w:w="11906" w:h="16838"/>
          <w:pgMar w:top="1440" w:right="1797" w:bottom="1440" w:left="1797" w:header="720" w:footer="720" w:gutter="0"/>
          <w:cols w:space="720"/>
          <w:docGrid w:linePitch="360"/>
        </w:sectPr>
      </w:pPr>
    </w:p>
    <w:p>
      <w:pPr>
        <w:spacing w:line="360" w:lineRule="auto" w:before="0" w:after="0"/>
        <w:jc w:val="center"/>
      </w:pPr>
      <w:r>
        <w:rPr>
          <w:rFonts w:ascii="Times New Roman" w:hAnsi="Times New Roman" w:eastAsia="黑体"/>
          <w:b/>
          <w:i w:val="0"/>
          <w:sz w:val="28"/>
        </w:rPr>
        <w:t>摘  要</w:t>
      </w:r>
    </w:p>
    <w:p/>
    <w:p>
      <w:pPr>
        <w:spacing w:line="360" w:lineRule="auto" w:before="0" w:after="0"/>
        <w:ind w:firstLine="397"/>
        <w:jc w:val="both"/>
      </w:pPr>
      <w:r>
        <w:rPr>
          <w:rFonts w:ascii="Times New Roman" w:hAnsi="Times New Roman" w:eastAsia="宋体"/>
          <w:b w:val="0"/>
          <w:i w:val="0"/>
          <w:sz w:val="24"/>
        </w:rPr>
        <w:t>本文研究了人工智能技术在高等教育中的应用现状和发展趋势，分析了人工智能对教学模式、学习方式和评估体系的影响，并提出了相应的对策建议。通过文献研究和案例分析，发现人工智能技术正在深刻改变高等教育的各个方面，但也面临数据隐私、技术伦理等挑战。研究建议高校应加强师资培训，完善数据治理体系，推进技术与教学的深度融合。</w:t>
      </w:r>
    </w:p>
    <w:p>
      <w:pPr>
        <w:spacing w:line="360" w:lineRule="auto" w:before="240" w:after="0"/>
        <w:jc w:val="left"/>
      </w:pPr>
      <w:r>
        <w:rPr>
          <w:rFonts w:ascii="Times New Roman" w:hAnsi="Times New Roman" w:eastAsia="宋体"/>
          <w:b/>
          <w:i w:val="0"/>
          <w:sz w:val="24"/>
        </w:rPr>
        <w:t>关键词：</w:t>
      </w:r>
      <w:r>
        <w:rPr>
          <w:rFonts w:ascii="Times New Roman" w:hAnsi="Times New Roman" w:eastAsia="宋体"/>
          <w:b w:val="0"/>
          <w:i w:val="0"/>
          <w:sz w:val="24"/>
        </w:rPr>
        <w:t>人工智能，高等教育，教学改革，智能评估，数据治理</w:t>
      </w:r>
    </w:p>
    <w:p>
      <w:r>
        <w:br w:type="page"/>
      </w:r>
    </w:p>
    <w:p>
      <w:pPr>
        <w:spacing w:line="360" w:lineRule="auto" w:before="0" w:after="0"/>
        <w:jc w:val="center"/>
      </w:pPr>
      <w:r>
        <w:rPr>
          <w:rFonts w:ascii="Times New Roman" w:hAnsi="Times New Roman" w:eastAsia="黑体"/>
          <w:b/>
          <w:i w:val="0"/>
          <w:sz w:val="28"/>
        </w:rPr>
        <w:t>Abstract</w:t>
      </w:r>
    </w:p>
    <w:p/>
    <w:p>
      <w:pPr>
        <w:spacing w:line="360" w:lineRule="auto" w:before="0" w:after="0"/>
        <w:ind w:firstLine="397"/>
        <w:jc w:val="both"/>
      </w:pPr>
      <w:r>
        <w:rPr>
          <w:rFonts w:ascii="Times New Roman" w:hAnsi="Times New Roman" w:eastAsia="宋体"/>
          <w:b w:val="0"/>
          <w:i w:val="0"/>
          <w:sz w:val="24"/>
        </w:rPr>
        <w:t>This paper studies the application status and development trends of artificial intelligence technology in higher education, analyzes the impact of AI on teaching models, learning methods, and assessment systems, and proposes corresponding countermeasures and suggestions. Through literature research and case analysis, it is found that AI technology is profoundly changing various aspects of higher education, but also faces challenges such as data privacy and technical ethics. The study suggests that universities should strengthen teacher training, improve data governance systems, and promote the deep integration of technology and teaching.</w:t>
      </w:r>
    </w:p>
    <w:p>
      <w:pPr>
        <w:spacing w:line="360" w:lineRule="auto" w:before="240" w:after="0"/>
        <w:jc w:val="left"/>
      </w:pPr>
      <w:r>
        <w:rPr>
          <w:rFonts w:ascii="Times New Roman" w:hAnsi="Times New Roman" w:eastAsia="宋体"/>
          <w:b/>
          <w:i w:val="0"/>
          <w:sz w:val="24"/>
        </w:rPr>
        <w:t xml:space="preserve">Keywords: </w:t>
      </w:r>
      <w:r>
        <w:rPr>
          <w:rFonts w:ascii="Times New Roman" w:hAnsi="Times New Roman" w:eastAsia="宋体"/>
          <w:b w:val="0"/>
          <w:i w:val="0"/>
          <w:sz w:val="24"/>
        </w:rPr>
        <w:t>artificial intelligence, higher education, teaching reform, intelligent assessment, data governance</w:t>
      </w:r>
    </w:p>
    <w:p>
      <w:r>
        <w:br w:type="page"/>
      </w:r>
    </w:p>
    <w:p>
      <w:pPr>
        <w:spacing w:line="360" w:lineRule="auto" w:before="0" w:after="0"/>
        <w:jc w:val="center"/>
      </w:pPr>
      <w:r>
        <w:rPr>
          <w:rFonts w:ascii="Times New Roman" w:hAnsi="Times New Roman" w:eastAsia="黑体"/>
          <w:b/>
          <w:i w:val="0"/>
          <w:sz w:val="28"/>
        </w:rPr>
        <w:t>目  录</w:t>
      </w:r>
    </w:p>
    <w:p/>
    <w:p>
      <w:pPr>
        <w:ind w:left="0"/>
      </w:pPr>
      <w:r>
        <w:rPr>
          <w:rFonts w:ascii="Times New Roman" w:hAnsi="Times New Roman" w:eastAsia="宋体"/>
          <w:b w:val="0"/>
          <w:i w:val="0"/>
          <w:sz w:val="24"/>
        </w:rPr>
        <w:t>第一章 绪论</w:t>
      </w:r>
    </w:p>
    <w:p>
      <w:pPr>
        <w:ind w:left="283"/>
      </w:pPr>
      <w:r>
        <w:rPr>
          <w:rFonts w:ascii="Times New Roman" w:hAnsi="Times New Roman" w:eastAsia="宋体"/>
          <w:b w:val="0"/>
          <w:i w:val="0"/>
          <w:sz w:val="24"/>
        </w:rPr>
        <w:t>1.1 研究背景</w:t>
      </w:r>
    </w:p>
    <w:p>
      <w:pPr>
        <w:ind w:left="283"/>
      </w:pPr>
      <w:r>
        <w:rPr>
          <w:rFonts w:ascii="Times New Roman" w:hAnsi="Times New Roman" w:eastAsia="宋体"/>
          <w:b w:val="0"/>
          <w:i w:val="0"/>
          <w:sz w:val="24"/>
        </w:rPr>
        <w:t>1.2 研究意义</w:t>
      </w:r>
    </w:p>
    <w:p>
      <w:pPr>
        <w:ind w:left="283"/>
      </w:pPr>
      <w:r>
        <w:rPr>
          <w:rFonts w:ascii="Times New Roman" w:hAnsi="Times New Roman" w:eastAsia="宋体"/>
          <w:b w:val="0"/>
          <w:i w:val="0"/>
          <w:sz w:val="24"/>
        </w:rPr>
        <w:t>1.3 研究方法</w:t>
      </w:r>
    </w:p>
    <w:p>
      <w:pPr>
        <w:ind w:left="0"/>
      </w:pPr>
      <w:r>
        <w:rPr>
          <w:rFonts w:ascii="Times New Roman" w:hAnsi="Times New Roman" w:eastAsia="宋体"/>
          <w:b w:val="0"/>
          <w:i w:val="0"/>
          <w:sz w:val="24"/>
        </w:rPr>
        <w:t>第二章 人工智能教育应用概述</w:t>
      </w:r>
    </w:p>
    <w:p>
      <w:pPr>
        <w:ind w:left="283"/>
      </w:pPr>
      <w:r>
        <w:rPr>
          <w:rFonts w:ascii="Times New Roman" w:hAnsi="Times New Roman" w:eastAsia="宋体"/>
          <w:b w:val="0"/>
          <w:i w:val="0"/>
          <w:sz w:val="24"/>
        </w:rPr>
        <w:t>2.1 人工智能技术发展</w:t>
      </w:r>
    </w:p>
    <w:p>
      <w:pPr>
        <w:ind w:left="283"/>
      </w:pPr>
      <w:r>
        <w:rPr>
          <w:rFonts w:ascii="Times New Roman" w:hAnsi="Times New Roman" w:eastAsia="宋体"/>
          <w:b w:val="0"/>
          <w:i w:val="0"/>
          <w:sz w:val="24"/>
        </w:rPr>
        <w:t>2.2 教育应用场景</w:t>
      </w:r>
    </w:p>
    <w:p>
      <w:pPr>
        <w:ind w:left="0"/>
      </w:pPr>
      <w:r>
        <w:rPr>
          <w:rFonts w:ascii="Times New Roman" w:hAnsi="Times New Roman" w:eastAsia="宋体"/>
          <w:b w:val="0"/>
          <w:i w:val="0"/>
          <w:sz w:val="24"/>
        </w:rPr>
        <w:t>第三章 案例分析</w:t>
      </w:r>
    </w:p>
    <w:p>
      <w:pPr>
        <w:ind w:left="283"/>
      </w:pPr>
      <w:r>
        <w:rPr>
          <w:rFonts w:ascii="Times New Roman" w:hAnsi="Times New Roman" w:eastAsia="宋体"/>
          <w:b w:val="0"/>
          <w:i w:val="0"/>
          <w:sz w:val="24"/>
        </w:rPr>
        <w:t>3.1 案例选择</w:t>
      </w:r>
    </w:p>
    <w:p>
      <w:pPr>
        <w:ind w:left="283"/>
      </w:pPr>
      <w:r>
        <w:rPr>
          <w:rFonts w:ascii="Times New Roman" w:hAnsi="Times New Roman" w:eastAsia="宋体"/>
          <w:b w:val="0"/>
          <w:i w:val="0"/>
          <w:sz w:val="24"/>
        </w:rPr>
        <w:t>3.2 案例分析</w:t>
      </w:r>
    </w:p>
    <w:p>
      <w:pPr>
        <w:ind w:left="0"/>
      </w:pPr>
      <w:r>
        <w:rPr>
          <w:rFonts w:ascii="Times New Roman" w:hAnsi="Times New Roman" w:eastAsia="宋体"/>
          <w:b w:val="0"/>
          <w:i w:val="0"/>
          <w:sz w:val="24"/>
        </w:rPr>
        <w:t>第四章 结论与建议</w:t>
      </w:r>
    </w:p>
    <w:p>
      <w:pPr>
        <w:ind w:left="283"/>
      </w:pPr>
      <w:r>
        <w:rPr>
          <w:rFonts w:ascii="Times New Roman" w:hAnsi="Times New Roman" w:eastAsia="宋体"/>
          <w:b w:val="0"/>
          <w:i w:val="0"/>
          <w:sz w:val="24"/>
        </w:rPr>
        <w:t>4.1 主要结论</w:t>
      </w:r>
    </w:p>
    <w:p>
      <w:pPr>
        <w:ind w:left="283"/>
      </w:pPr>
      <w:r>
        <w:rPr>
          <w:rFonts w:ascii="Times New Roman" w:hAnsi="Times New Roman" w:eastAsia="宋体"/>
          <w:b w:val="0"/>
          <w:i w:val="0"/>
          <w:sz w:val="24"/>
        </w:rPr>
        <w:t>4.2 对策建议</w:t>
      </w:r>
    </w:p>
    <w:p>
      <w:r>
        <w:br w:type="page"/>
      </w:r>
    </w:p>
    <w:p>
      <w:pPr>
        <w:sectPr>
          <w:pgSz w:w="11906" w:h="16838"/>
          <w:pgMar w:top="1440" w:right="1797" w:bottom="1440" w:left="1797" w:header="720" w:footer="720" w:gutter="0"/>
          <w:cols w:space="720"/>
          <w:titlePg/>
          <w:docGrid w:linePitch="360"/>
        </w:sectPr>
      </w:pPr>
    </w:p>
    <w:p>
      <w:pPr>
        <w:spacing w:line="360" w:lineRule="auto" w:before="240" w:after="120"/>
        <w:jc w:val="left"/>
      </w:pPr>
      <w:r>
        <w:rPr>
          <w:rFonts w:ascii="Times New Roman" w:hAnsi="Times New Roman" w:eastAsia="黑体"/>
          <w:b/>
          <w:i w:val="0"/>
          <w:sz w:val="24"/>
        </w:rPr>
        <w:t>第一章 绪论</w:t>
      </w:r>
    </w:p>
    <w:p>
      <w:pPr>
        <w:spacing w:line="360" w:lineRule="auto" w:before="120" w:after="120"/>
        <w:jc w:val="left"/>
      </w:pPr>
      <w:r>
        <w:rPr>
          <w:rFonts w:ascii="Times New Roman" w:hAnsi="Times New Roman" w:eastAsia="黑体"/>
          <w:b/>
          <w:i w:val="0"/>
          <w:sz w:val="24"/>
        </w:rPr>
        <w:t>1.1 研究背景</w:t>
      </w:r>
    </w:p>
    <w:p>
      <w:pPr>
        <w:spacing w:line="360" w:lineRule="auto" w:before="0" w:after="0"/>
        <w:ind w:firstLine="397"/>
        <w:jc w:val="both"/>
      </w:pPr>
      <w:r>
        <w:rPr>
          <w:rFonts w:ascii="Times New Roman" w:hAnsi="Times New Roman" w:eastAsia="宋体"/>
          <w:b w:val="0"/>
          <w:i w:val="0"/>
          <w:sz w:val="24"/>
        </w:rPr>
        <w:t>随着人工智能技术的快速发展，教育领域正在经历深刻的变革。从智能辅导系统到自适应学习平台，从自动评分到学习分析，人工智能技术正在改变传统的教学模式和学习方式。</w:t>
      </w:r>
    </w:p>
    <w:p>
      <w:pPr>
        <w:spacing w:line="360" w:lineRule="auto" w:before="0" w:after="0"/>
        <w:ind w:firstLine="397"/>
        <w:jc w:val="both"/>
      </w:pPr>
      <w:r>
        <w:rPr>
          <w:rFonts w:ascii="Times New Roman" w:hAnsi="Times New Roman" w:eastAsia="宋体"/>
          <w:b w:val="0"/>
          <w:i w:val="0"/>
          <w:sz w:val="24"/>
        </w:rPr>
        <w:t>近年来，以深度学习为代表的人工智能技术取得了突破性进展，在自然语言处理、计算机视觉、语音识别等领域展现出强大的能力。这些技术为教育创新提供了新的可能性，推动了智能教育的快速发展。</w:t>
      </w:r>
    </w:p>
    <w:p>
      <w:pPr>
        <w:spacing w:line="360" w:lineRule="auto" w:before="120" w:after="120"/>
        <w:jc w:val="left"/>
      </w:pPr>
      <w:r>
        <w:rPr>
          <w:rFonts w:ascii="Times New Roman" w:hAnsi="Times New Roman" w:eastAsia="黑体"/>
          <w:b/>
          <w:i w:val="0"/>
          <w:sz w:val="24"/>
        </w:rPr>
        <w:t>1.2 研究意义</w:t>
      </w:r>
    </w:p>
    <w:p>
      <w:pPr>
        <w:spacing w:line="360" w:lineRule="auto" w:before="0" w:after="0"/>
        <w:ind w:firstLine="397"/>
        <w:jc w:val="both"/>
      </w:pPr>
      <w:r>
        <w:rPr>
          <w:rFonts w:ascii="Times New Roman" w:hAnsi="Times New Roman" w:eastAsia="宋体"/>
          <w:b w:val="0"/>
          <w:i w:val="0"/>
          <w:sz w:val="24"/>
        </w:rPr>
        <w:t>本研究具有重要的理论意义和实践价值。理论上有助于丰富教育技术学的研究内容，深化对智能教育规律的认识；实践上可为高校教学改革提供参考，促进人工智能技术与教育教学的深度融合。</w:t>
      </w:r>
    </w:p>
    <w:p>
      <w:pPr>
        <w:spacing w:line="360" w:lineRule="auto" w:before="120" w:after="120"/>
        <w:jc w:val="left"/>
      </w:pPr>
      <w:r>
        <w:rPr>
          <w:rFonts w:ascii="Times New Roman" w:hAnsi="Times New Roman" w:eastAsia="黑体"/>
          <w:b/>
          <w:i w:val="0"/>
          <w:sz w:val="24"/>
        </w:rPr>
        <w:t>1.3 研究方法</w:t>
      </w:r>
    </w:p>
    <w:p>
      <w:pPr>
        <w:spacing w:line="360" w:lineRule="auto" w:before="0" w:after="0"/>
        <w:ind w:firstLine="397"/>
        <w:jc w:val="both"/>
      </w:pPr>
      <w:r>
        <w:rPr>
          <w:rFonts w:ascii="Times New Roman" w:hAnsi="Times New Roman" w:eastAsia="宋体"/>
          <w:b w:val="0"/>
          <w:i w:val="0"/>
          <w:sz w:val="24"/>
        </w:rPr>
        <w:t>本研究采用文献研究法、案例分析法和调查研究法相结合的方法。通过系统梳理国内外相关文献，分析典型应用案例，总结人工智能在高等教育中的应用模式和经验。</w:t>
      </w:r>
    </w:p>
    <w:p>
      <w:pPr>
        <w:spacing w:line="360" w:lineRule="auto" w:before="240" w:after="120"/>
        <w:jc w:val="left"/>
      </w:pPr>
      <w:r>
        <w:rPr>
          <w:rFonts w:ascii="Times New Roman" w:hAnsi="Times New Roman" w:eastAsia="黑体"/>
          <w:b/>
          <w:i w:val="0"/>
          <w:sz w:val="24"/>
        </w:rPr>
        <w:t>第二章 人工智能教育应用概述</w:t>
      </w:r>
    </w:p>
    <w:p>
      <w:pPr>
        <w:spacing w:line="360" w:lineRule="auto" w:before="120" w:after="120"/>
        <w:jc w:val="left"/>
      </w:pPr>
      <w:r>
        <w:rPr>
          <w:rFonts w:ascii="Times New Roman" w:hAnsi="Times New Roman" w:eastAsia="黑体"/>
          <w:b/>
          <w:i w:val="0"/>
          <w:sz w:val="24"/>
        </w:rPr>
        <w:t>2.1 人工智能技术发展</w:t>
      </w:r>
    </w:p>
    <w:p>
      <w:pPr>
        <w:spacing w:line="360" w:lineRule="auto" w:before="0" w:after="0"/>
        <w:ind w:firstLine="397"/>
        <w:jc w:val="both"/>
      </w:pPr>
      <w:r>
        <w:rPr>
          <w:rFonts w:ascii="Times New Roman" w:hAnsi="Times New Roman" w:eastAsia="宋体"/>
          <w:b w:val="0"/>
          <w:i w:val="0"/>
          <w:sz w:val="24"/>
        </w:rPr>
        <w:t>人工智能技术经历了从符号主义到连接主义，再到深度学习的发展历程。近年来，随着算力的提升和数据的积累，深度学习技术在多个领域取得了突破性进展。</w:t>
      </w:r>
    </w:p>
    <w:p>
      <w:pPr>
        <w:spacing w:line="360" w:lineRule="auto" w:before="120" w:after="120"/>
        <w:jc w:val="left"/>
      </w:pPr>
      <w:r>
        <w:rPr>
          <w:rFonts w:ascii="Times New Roman" w:hAnsi="Times New Roman" w:eastAsia="黑体"/>
          <w:b/>
          <w:i w:val="0"/>
          <w:sz w:val="24"/>
        </w:rPr>
        <w:t>2.2 教育应用场景</w:t>
      </w:r>
    </w:p>
    <w:p>
      <w:pPr>
        <w:spacing w:line="360" w:lineRule="auto" w:before="0" w:after="0"/>
        <w:ind w:firstLine="397"/>
        <w:jc w:val="both"/>
      </w:pPr>
      <w:r>
        <w:rPr>
          <w:rFonts w:ascii="Times New Roman" w:hAnsi="Times New Roman" w:eastAsia="宋体"/>
          <w:b w:val="0"/>
          <w:i w:val="0"/>
          <w:sz w:val="24"/>
        </w:rPr>
        <w:t>人工智能在教育中的应用主要包括以下几个方面：</w:t>
      </w:r>
    </w:p>
    <w:p>
      <w:pPr>
        <w:spacing w:line="360" w:lineRule="auto" w:before="0" w:after="0"/>
        <w:ind w:firstLine="397"/>
        <w:jc w:val="both"/>
      </w:pPr>
      <w:r>
        <w:rPr>
          <w:rFonts w:ascii="Times New Roman" w:hAnsi="Times New Roman" w:eastAsia="宋体"/>
          <w:b w:val="0"/>
          <w:i w:val="0"/>
          <w:sz w:val="24"/>
        </w:rPr>
        <w:t>智能辅导系统能够根据学生的学习情况提供个性化的学习建议和辅导。自适应学习平台可以动态调整学习内容和难度，适应不同学生的学习需求。自动评分系统能够快速、客观地对学生的作业和考试进行评分。学习分析技术可以挖掘学习数据中的规律，为教学决策提供支持。</w:t>
      </w:r>
    </w:p>
    <w:p>
      <w:pPr>
        <w:spacing w:line="360" w:lineRule="auto" w:before="240" w:after="120"/>
        <w:jc w:val="left"/>
      </w:pPr>
      <w:r>
        <w:rPr>
          <w:rFonts w:ascii="Times New Roman" w:hAnsi="Times New Roman" w:eastAsia="黑体"/>
          <w:b/>
          <w:i w:val="0"/>
          <w:sz w:val="24"/>
        </w:rPr>
        <w:t>第三章 案例分析</w:t>
      </w:r>
    </w:p>
    <w:p>
      <w:pPr>
        <w:spacing w:line="360" w:lineRule="auto" w:before="120" w:after="120"/>
        <w:jc w:val="left"/>
      </w:pPr>
      <w:r>
        <w:rPr>
          <w:rFonts w:ascii="Times New Roman" w:hAnsi="Times New Roman" w:eastAsia="黑体"/>
          <w:b/>
          <w:i w:val="0"/>
          <w:sz w:val="24"/>
        </w:rPr>
        <w:t>3.1 案例选择</w:t>
      </w:r>
    </w:p>
    <w:p>
      <w:pPr>
        <w:spacing w:line="360" w:lineRule="auto" w:before="0" w:after="0"/>
        <w:ind w:firstLine="397"/>
        <w:jc w:val="both"/>
      </w:pPr>
      <w:r>
        <w:rPr>
          <w:rFonts w:ascii="Times New Roman" w:hAnsi="Times New Roman" w:eastAsia="宋体"/>
          <w:b w:val="0"/>
          <w:i w:val="0"/>
          <w:sz w:val="24"/>
        </w:rPr>
        <w:t>本研究选取了国内外典型的AI教育应用案例进行分析，包括智能辅导系统、自适应学习平台、智能评估系统等。</w:t>
      </w:r>
    </w:p>
    <w:p>
      <w:pPr>
        <w:spacing w:line="360" w:lineRule="auto" w:before="120" w:after="120"/>
        <w:jc w:val="left"/>
      </w:pPr>
      <w:r>
        <w:rPr>
          <w:rFonts w:ascii="Times New Roman" w:hAnsi="Times New Roman" w:eastAsia="黑体"/>
          <w:b/>
          <w:i w:val="0"/>
          <w:sz w:val="24"/>
        </w:rPr>
        <w:t>3.2 案例分析</w:t>
      </w:r>
    </w:p>
    <w:p>
      <w:pPr>
        <w:spacing w:line="360" w:lineRule="auto" w:before="0" w:after="0"/>
        <w:ind w:firstLine="397"/>
        <w:jc w:val="both"/>
      </w:pPr>
      <w:r>
        <w:rPr>
          <w:rFonts w:ascii="Times New Roman" w:hAnsi="Times New Roman" w:eastAsia="宋体"/>
          <w:b w:val="0"/>
          <w:i w:val="0"/>
          <w:sz w:val="24"/>
        </w:rPr>
        <w:t>通过对案例的深入分析，总结了成功经验和存在问题。成功案例的共同点包括：明确的教育目标、充分的技术准备、有效的师生培训、完善的数据治理等。</w:t>
      </w:r>
    </w:p>
    <w:p>
      <w:pPr>
        <w:spacing w:line="360" w:lineRule="auto" w:before="240" w:after="120"/>
        <w:jc w:val="left"/>
      </w:pPr>
      <w:r>
        <w:rPr>
          <w:rFonts w:ascii="Times New Roman" w:hAnsi="Times New Roman" w:eastAsia="黑体"/>
          <w:b/>
          <w:i w:val="0"/>
          <w:sz w:val="24"/>
        </w:rPr>
        <w:t>第四章 结论与建议</w:t>
      </w:r>
    </w:p>
    <w:p>
      <w:pPr>
        <w:spacing w:line="360" w:lineRule="auto" w:before="120" w:after="120"/>
        <w:jc w:val="left"/>
      </w:pPr>
      <w:r>
        <w:rPr>
          <w:rFonts w:ascii="Times New Roman" w:hAnsi="Times New Roman" w:eastAsia="黑体"/>
          <w:b/>
          <w:i w:val="0"/>
          <w:sz w:val="24"/>
        </w:rPr>
        <w:t>4.1 主要结论</w:t>
      </w:r>
    </w:p>
    <w:p>
      <w:pPr>
        <w:spacing w:line="360" w:lineRule="auto" w:before="0" w:after="0"/>
        <w:ind w:firstLine="397"/>
        <w:jc w:val="both"/>
      </w:pPr>
      <w:r>
        <w:rPr>
          <w:rFonts w:ascii="Times New Roman" w:hAnsi="Times New Roman" w:eastAsia="宋体"/>
          <w:b w:val="0"/>
          <w:i w:val="0"/>
          <w:sz w:val="24"/>
        </w:rPr>
        <w:t>人工智能技术在高等教育中的应用前景广阔，但也面临数据隐私、技术伦理、师资培训等挑战。成功的AI教育应用需要技术创新与教育理念的深度融合。</w:t>
      </w:r>
    </w:p>
    <w:p>
      <w:pPr>
        <w:spacing w:line="360" w:lineRule="auto" w:before="120" w:after="120"/>
        <w:jc w:val="left"/>
      </w:pPr>
      <w:r>
        <w:rPr>
          <w:rFonts w:ascii="Times New Roman" w:hAnsi="Times New Roman" w:eastAsia="黑体"/>
          <w:b/>
          <w:i w:val="0"/>
          <w:sz w:val="24"/>
        </w:rPr>
        <w:t>4.2 对策建议</w:t>
      </w:r>
    </w:p>
    <w:p>
      <w:pPr>
        <w:spacing w:line="360" w:lineRule="auto" w:before="0" w:after="0"/>
        <w:ind w:firstLine="397"/>
        <w:jc w:val="both"/>
      </w:pPr>
      <w:r>
        <w:rPr>
          <w:rFonts w:ascii="Times New Roman" w:hAnsi="Times New Roman" w:eastAsia="宋体"/>
          <w:b w:val="0"/>
          <w:i w:val="0"/>
          <w:sz w:val="24"/>
        </w:rPr>
        <w:t>建议高校采取以下措施：加强师资培训，提升教师的AI素养；完善数据治理，保护学生隐私；推进技术与教学的深度融合，避免技术至上；建立跨学科合作机制，促进教育创新。</w:t>
      </w:r>
    </w:p>
    <w:p>
      <w:pPr>
        <w:spacing w:line="360" w:lineRule="auto" w:before="360" w:after="240"/>
        <w:jc w:val="left"/>
      </w:pPr>
      <w:r>
        <w:rPr>
          <w:rFonts w:ascii="Times New Roman" w:hAnsi="Times New Roman" w:eastAsia="黑体"/>
          <w:b/>
          <w:i w:val="0"/>
          <w:sz w:val="28"/>
        </w:rPr>
        <w:t>参考文献</w:t>
      </w:r>
    </w:p>
    <w:p>
      <w:pPr>
        <w:spacing w:line="240" w:lineRule="auto" w:before="0" w:after="0"/>
        <w:jc w:val="left"/>
      </w:pPr>
      <w:r>
        <w:rPr>
          <w:rFonts w:ascii="Times New Roman" w:hAnsi="Times New Roman" w:eastAsia="宋体"/>
          <w:b w:val="0"/>
          <w:i w:val="0"/>
          <w:sz w:val="21"/>
        </w:rPr>
        <w:t>[1] 张三, 李四. 人工智能教育应用研究[J]. 教育研究, 2024, 45(3): 78-89.</w:t>
      </w:r>
    </w:p>
    <w:p>
      <w:pPr>
        <w:spacing w:line="240" w:lineRule="auto" w:before="0" w:after="0"/>
        <w:jc w:val="left"/>
      </w:pPr>
      <w:r>
        <w:rPr>
          <w:rFonts w:ascii="Times New Roman" w:hAnsi="Times New Roman" w:eastAsia="宋体"/>
          <w:b w:val="0"/>
          <w:i w:val="0"/>
          <w:sz w:val="21"/>
        </w:rPr>
        <w:t>[2] Smith J, Johnson A. AI in Education: A Comprehensive Review[J]. Educational Technology Research, 2023, 71(2): 245-267.</w:t>
      </w:r>
    </w:p>
    <w:p>
      <w:pPr>
        <w:spacing w:line="240" w:lineRule="auto" w:before="0" w:after="0"/>
        <w:jc w:val="left"/>
      </w:pPr>
      <w:r>
        <w:rPr>
          <w:rFonts w:ascii="Times New Roman" w:hAnsi="Times New Roman" w:eastAsia="宋体"/>
          <w:b w:val="0"/>
          <w:i w:val="0"/>
          <w:sz w:val="21"/>
        </w:rPr>
        <w:t>[3] 王五. 智能教育系统的理论与实践[M]. 北京: 高等教育出版社, 2023.</w:t>
      </w:r>
    </w:p>
    <w:p>
      <w:pPr>
        <w:spacing w:line="240" w:lineRule="auto" w:before="0" w:after="0"/>
        <w:jc w:val="left"/>
      </w:pPr>
      <w:r>
        <w:rPr>
          <w:rFonts w:ascii="Times New Roman" w:hAnsi="Times New Roman" w:eastAsia="宋体"/>
          <w:b w:val="0"/>
          <w:i w:val="0"/>
          <w:sz w:val="21"/>
        </w:rPr>
        <w:t>[4] Brown K, Davis M, Wilson R. Machine Learning Applications in Higher Education[J]. Computers &amp; Education, 2023, 189: 104785.</w:t>
      </w:r>
    </w:p>
    <w:p>
      <w:pPr>
        <w:spacing w:line="240" w:lineRule="auto" w:before="0" w:after="0"/>
        <w:jc w:val="left"/>
      </w:pPr>
      <w:r>
        <w:rPr>
          <w:rFonts w:ascii="Times New Roman" w:hAnsi="Times New Roman" w:eastAsia="宋体"/>
          <w:b w:val="0"/>
          <w:i w:val="0"/>
          <w:sz w:val="21"/>
        </w:rPr>
        <w:t>[5] 赵六, 钱七. 深度学习在教育评估中的应用[J]. 现代教育技术, 2024, 34(1): 56-64.</w:t>
      </w:r>
    </w:p>
    <w:sectPr w:rsidR="00FC693F" w:rsidRPr="0006063C" w:rsidSect="00034616">
      <w:pgSz w:w="11906" w:h="16838"/>
      <w:pgMar w:top="1440" w:right="1797" w:bottom="1440" w:left="1797" w:header="720" w:footer="720" w:gutter="0"/>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jc w:val="center"/>
    </w:pPr>
    <w:r>
      <w:rPr>
        <w:rFonts w:ascii="Times New Roman" w:hAnsi="Times New Roman" w:eastAsia="宋体"/>
        <w:b w:val="0"/>
        <w:i w:val="0"/>
        <w:sz w:val="24"/>
      </w:rPr>
      <w:fldChar w:fldCharType="begin"/>
      <w:instrText xml:space="preserve">PAGE</w:instrText>
      <w:fldChar w:fldCharType="separate"/>
      <w:fldChar w:fldCharType="end"/>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eastAsia="宋体"/>
      <w:sz w:val="24"/>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