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 w:line="300" w:lineRule="auto"/>
        <w:jc w:val="center"/>
      </w:pPr>
      <w:r>
        <w:rPr>
          <w:rFonts w:ascii="Aptos" w:hAnsi="Aptos" w:eastAsia="Aptos" w:cs="Aptos"/>
          <w:b/>
          <w:i w:val="0"/>
          <w:smallCaps/>
          <w:strike w:val="0"/>
          <w:color w:val="7C3AED"/>
          <w:sz w:val="18"/>
        </w:rPr>
        <w:t>Model Launch Brief</w:t>
      </w:r>
    </w:p>
    <w:p>
      <w:pPr>
        <w:spacing w:before="160" w:after="80"/>
        <w:jc w:val="center"/>
      </w:pPr>
      <w:r>
        <w:drawing>
          <wp:inline xmlns:a="http://schemas.openxmlformats.org/drawingml/2006/main" xmlns:pic="http://schemas.openxmlformats.org/drawingml/2006/picture">
            <wp:extent cx="2765145" cy="107580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5145" cy="107580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Georgia" w:hAnsi="Georgia" w:eastAsia="Georgia" w:cs="Georgia"/>
          <w:i/>
          <w:color w:val="1F2937"/>
          <w:sz w:val="18"/>
        </w:rPr>
        <w:t>OpenA1 editorial mark</w:t>
      </w:r>
    </w:p>
    <w:p>
      <w:pPr>
        <w:spacing w:before="0" w:after="80"/>
      </w:pPr>
      <w:r>
        <w:rPr>
          <w:rFonts w:ascii="Aptos" w:hAnsi="Aptos" w:eastAsia="Aptos" w:cs="Aptos"/>
          <w:b/>
          <w:i w:val="0"/>
          <w:strike w:val="0"/>
          <w:color w:val="111827"/>
          <w:sz w:val="48"/>
        </w:rPr>
        <w:t>Frontier Reasoner 2</w:t>
      </w:r>
    </w:p>
    <w:p>
      <w:pPr>
        <w:spacing w:before="0" w:after="200" w:line="300" w:lineRule="auto"/>
        <w:jc w:val="center"/>
      </w:pPr>
      <w:r>
        <w:rPr>
          <w:rFonts w:ascii="Georgia" w:hAnsi="Georgia" w:eastAsia="Georgia" w:cs="Georgia"/>
          <w:b w:val="0"/>
          <w:i/>
          <w:strike w:val="0"/>
          <w:color w:val="6B7280"/>
          <w:sz w:val="22"/>
        </w:rPr>
        <w:t>A bilingual guide to the model's strengths, limits, and rollout story for customers, editors, and deployment partners.</w:t>
      </w:r>
    </w:p>
    <w:p>
      <w:pPr>
        <w:spacing w:before="40" w:after="200" w:line="300" w:lineRule="auto"/>
        <w:jc w:val="center"/>
        <w:shd w:fill="F5F3FF" w:val="clear"/>
      </w:pPr>
      <w:r>
        <w:rPr>
          <w:rFonts w:ascii="Georgia" w:hAnsi="Georgia" w:eastAsia="Georgia" w:cs="Georgia"/>
          <w:b w:val="0"/>
          <w:i w:val="0"/>
          <w:strike w:val="0"/>
          <w:color w:val="4C1D95"/>
          <w:sz w:val="22"/>
        </w:rPr>
        <w:t xml:space="preserve">Frontier Reasoner 2 is designed for teams that need clearer multi-step reasoning, steadier tool use, and more predictable long-context behavior. This brief explains how to describe the model in public materials, where it sits in the product line, and which claims should be backed by the </w:t>
      </w:r>
      <w:hyperlink r:id="rId11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system card</w:t>
        </w:r>
      </w:hyperlink>
      <w:r>
        <w:rPr>
          <w:rFonts w:ascii="Georgia" w:hAnsi="Georgia" w:eastAsia="Georgia" w:cs="Georgia"/>
          <w:b w:val="0"/>
          <w:i w:val="0"/>
          <w:strike w:val="0"/>
          <w:color w:val="4C1D95"/>
          <w:sz w:val="22"/>
        </w:rPr>
        <w:t xml:space="preserve"> instead of marketing copy.</w:t>
      </w:r>
    </w:p>
    <w:p>
      <w:pPr>
        <w:spacing w:before="0" w:after="160" w:line="40" w:lineRule="exact"/>
        <w:pBdr>
          <w:bottom w:val="single" w:sz="4" w:space="4" w:color="D1D5DB"/>
        </w:pBdr>
      </w:pPr>
      <w:r>
        <w:rPr>
          <w:sz w:val="4"/>
        </w:rPr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At a Glance</w:t>
      </w:r>
    </w:p>
    <w:p>
      <w:pPr>
        <w:spacing w:before="0" w:after="160" w:line="20" w:lineRule="exact"/>
      </w:pPr>
    </w:p>
    <w:tbl>
      <w:tblPr>
        <w:jc w:val="center"/>
        <w:tblLook w:firstColumn="1" w:firstRow="1" w:lastColumn="0" w:lastRow="0" w:noHBand="0" w:noVBand="1" w:val="04A0"/>
        <w:tblLayout w:type="fixed"/>
        <w:tblW w:w="9072" w:type="dxa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  <w:tblCellMar>
          <w:top w:w="40" w:type="dxa"/>
          <w:left w:w="80" w:type="dxa"/>
          <w:bottom w:w="40" w:type="dxa"/>
          <w:right w:w="80" w:type="dxa"/>
        </w:tblCellMar>
      </w:tblPr>
      <w:tblGrid>
        <w:gridCol w:w="2592"/>
        <w:gridCol w:w="3888"/>
        <w:gridCol w:w="1296"/>
        <w:gridCol w:w="1296"/>
      </w:tblGrid>
      <w:tr>
        <w:tc>
          <w:tcPr>
            <w:tcW w:w="2592" w:type="dxa"/>
            <w:vAlign w:val="center"/>
            <w:shd w:fill="EDE9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Variant</w:t>
            </w:r>
          </w:p>
        </w:tc>
        <w:tc>
          <w:tcPr>
            <w:tcW w:w="3888" w:type="dxa"/>
            <w:vAlign w:val="center"/>
            <w:shd w:fill="EDE9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Best for</w:t>
            </w:r>
          </w:p>
        </w:tc>
        <w:tc>
          <w:tcPr>
            <w:tcW w:w="1296" w:type="dxa"/>
            <w:vAlign w:val="center"/>
            <w:shd w:fill="EDE9FE" w:val="clear"/>
          </w:tcPr>
          <w:p>
            <w:pPr>
              <w:spacing w:before="60" w:after="60"/>
              <w:jc w:val="righ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Context window</w:t>
            </w:r>
          </w:p>
        </w:tc>
        <w:tc>
          <w:tcPr>
            <w:tcW w:w="1296" w:type="dxa"/>
            <w:vAlign w:val="center"/>
            <w:shd w:fill="EDE9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Availability</w:t>
            </w:r>
          </w:p>
        </w:tc>
      </w:tr>
      <w:tr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Frontier Reasoner 2</w:t>
            </w:r>
          </w:p>
        </w:tc>
        <w:tc>
          <w:tcPr>
            <w:tcW w:w="3888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Complex reasoning and tool orchestration</w:t>
            </w:r>
          </w:p>
        </w:tc>
        <w:tc>
          <w:tcPr>
            <w:tcW w:w="1296" w:type="dxa"/>
            <w:vAlign w:val="center"/>
          </w:tcPr>
          <w:p>
            <w:pPr>
              <w:spacing w:before="40" w:after="40"/>
              <w:jc w:val="righ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256K</w:t>
            </w:r>
          </w:p>
        </w:tc>
        <w:tc>
          <w:tcPr>
            <w:tcW w:w="1296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General release</w:t>
            </w:r>
          </w:p>
        </w:tc>
      </w:tr>
      <w:tr>
        <w:tc>
          <w:tcPr>
            <w:tcW w:w="2592" w:type="dxa"/>
            <w:vAlign w:val="center"/>
            <w:shd w:fill="FAF5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Frontier Reasoner 2 Mini</w:t>
            </w:r>
          </w:p>
        </w:tc>
        <w:tc>
          <w:tcPr>
            <w:tcW w:w="3888" w:type="dxa"/>
            <w:vAlign w:val="center"/>
            <w:shd w:fill="FAF5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Fast drafts and agent loops</w:t>
            </w:r>
          </w:p>
        </w:tc>
        <w:tc>
          <w:tcPr>
            <w:tcW w:w="1296" w:type="dxa"/>
            <w:vAlign w:val="center"/>
            <w:shd w:fill="FAF5FF" w:val="clear"/>
          </w:tcPr>
          <w:p>
            <w:pPr>
              <w:spacing w:before="40" w:after="40"/>
              <w:jc w:val="righ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128K</w:t>
            </w:r>
          </w:p>
        </w:tc>
        <w:tc>
          <w:tcPr>
            <w:tcW w:w="1296" w:type="dxa"/>
            <w:vAlign w:val="center"/>
            <w:shd w:fill="FAF5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Public preview</w:t>
            </w:r>
          </w:p>
        </w:tc>
      </w:tr>
      <w:tr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Frontier Reasoner 1</w:t>
            </w:r>
          </w:p>
        </w:tc>
        <w:tc>
          <w:tcPr>
            <w:tcW w:w="3888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Cost-sensitive fallback paths</w:t>
            </w:r>
          </w:p>
        </w:tc>
        <w:tc>
          <w:tcPr>
            <w:tcW w:w="1296" w:type="dxa"/>
            <w:vAlign w:val="center"/>
          </w:tcPr>
          <w:p>
            <w:pPr>
              <w:spacing w:before="40" w:after="40"/>
              <w:jc w:val="righ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128K</w:t>
            </w:r>
          </w:p>
        </w:tc>
        <w:tc>
          <w:tcPr>
            <w:tcW w:w="1296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Continuing support</w:t>
            </w:r>
          </w:p>
        </w:tc>
      </w:tr>
    </w:tbl>
    <w:p>
      <w:pPr>
        <w:spacing w:before="0" w:after="240" w:line="20" w:lineRule="exact"/>
      </w:pP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Why It Matters / 为什么重要</w:t>
      </w:r>
    </w:p>
    <w:p>
      <w:pPr>
        <w:spacing w:before="0" w:after="140" w:line="300" w:lineRule="auto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This release is meant to make the model easier to explain as well as easier to deploy. In English, that means clearer guidance on what the model is for. 在中文语境下，这也意味着发布材料需要同时说明能力边界、推荐场景，以及不建议夸大的结论。</w:t>
      </w:r>
    </w:p>
    <w:p>
      <w:pPr>
        <w:spacing w:before="160" w:after="160"/>
        <w:ind w:left="504"/>
        <w:pBdr>
          <w:left w:val="single" w:sz="16" w:space="8" w:color="8B5CF6"/>
        </w:pBdr>
      </w:pPr>
      <w:r>
        <w:rPr>
          <w:rFonts w:ascii="Georgia" w:hAnsi="Georgia" w:eastAsia="Georgia" w:cs="Georgia"/>
          <w:b w:val="0"/>
          <w:i/>
          <w:strike w:val="0"/>
          <w:color w:val="6D28D9"/>
          <w:sz w:val="24"/>
        </w:rPr>
        <w:t>"Readers should understand not only that the model is more capable, but also how to use it responsibly in real products."</w:t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Narrative Beats / 叙事节奏</w:t>
      </w:r>
    </w:p>
    <w:p>
      <w:pPr>
        <w:spacing w:before="0" w:after="140" w:line="300" w:lineRule="auto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The launch brief is intentionally written like an editorial package rather than an internal memo.</w:t>
      </w:r>
    </w:p>
    <w:p>
      <w:pPr>
        <w:pStyle w:val="ListNumber"/>
        <w:numPr>
          <w:ilvl w:val="0"/>
          <w:numId w:val="10"/>
        </w:numPr>
        <w:spacing w:before="12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Open with the user problem, not the benchmark chart.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Reader value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Say what becomes easier for real teams shipping products.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Evidence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Use the </w:t>
      </w:r>
      <w:hyperlink r:id="rId11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system card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 for formal capability and safety claims.</w:t>
      </w:r>
    </w:p>
    <w:p>
      <w:pPr>
        <w:pStyle w:val="ListContinue"/>
        <w:spacing w:before="40" w:after="120" w:line="300" w:lineRule="auto"/>
        <w:ind w:left="533"/>
        <w:shd w:fill="FEF3C7" w:val="clear"/>
      </w:pPr>
      <w:r>
        <w:rPr>
          <w:rFonts w:ascii="Georgia" w:hAnsi="Georgia" w:eastAsia="Georgia" w:cs="Georgia"/>
          <w:b/>
          <w:i w:val="0"/>
          <w:strike w:val="0"/>
          <w:color w:val="92400E"/>
          <w:sz w:val="22"/>
        </w:rPr>
        <w:t>Avoid copy that suggests unrestricted autonomy, perfect factuality, or "research assistant replacement" positioning.</w:t>
      </w:r>
    </w:p>
    <w:p>
      <w:pPr>
        <w:pStyle w:val="ListNumber"/>
        <w:numPr>
          <w:ilvl w:val="0"/>
          <w:numId w:val="10"/>
        </w:numPr>
        <w:spacing w:before="12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Explain where the model fits in the lineup.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Product framing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Contrast Frontier Reasoner 2 and Mini in plain language.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Editorial framing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Prefer concrete verbs like "plan", "reason", and "orchestrate".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Keep </w:t>
      </w:r>
      <w:r>
        <w:rPr>
          <w:rFonts w:ascii="Menlo" w:hAnsi="Menlo" w:eastAsia="Menlo" w:cs="Menlo"/>
          <w:color w:val="1F2937"/>
          <w:sz w:val="22"/>
        </w:rPr>
        <w:t>reasoning_mode=balanced</w:t>
      </w: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 examples short enough to scan.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International framing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Repeat the core message in English and 中文 without turning the brief into a translation dump.</w:t>
      </w:r>
    </w:p>
    <w:p>
      <w:pPr>
        <w:pStyle w:val="ListNumber"/>
        <w:numPr>
          <w:ilvl w:val="0"/>
          <w:numId w:val="10"/>
        </w:numPr>
        <w:spacing w:before="12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Close with deployment guidance and next steps.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Reference material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Point readers to the </w:t>
      </w:r>
      <w:hyperlink r:id="rId12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cookbook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 and </w:t>
      </w:r>
      <w:hyperlink r:id="rId13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evaluation notes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.</w:t>
      </w:r>
    </w:p>
    <w:p>
      <w:pPr>
        <w:pStyle w:val="ListNumber2"/>
        <w:numPr>
          <w:ilvl w:val="1"/>
          <w:numId w:val="10"/>
        </w:numPr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Rollout clarity</w:t>
      </w:r>
    </w:p>
    <w:p>
      <w:pPr>
        <w:pStyle w:val="ListBullet3"/>
        <w:spacing w:before="40" w:after="140" w:line="300" w:lineRule="auto"/>
        <w:ind w:left="1512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Tell launch partners which surfaces are GA versus preview.</w:t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Messaging Guidance / 对外表述建议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Lead with measurable strengths such as long-context reliability and more stable tool use.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Avoid vague claims like </w:t>
      </w:r>
      <w:r>
        <w:rPr>
          <w:rFonts w:ascii="Georgia" w:hAnsi="Georgia" w:eastAsia="Georgia" w:cs="Georgia"/>
          <w:b w:val="0"/>
          <w:i w:val="0"/>
          <w:strike/>
          <w:color w:val="1F2937"/>
          <w:sz w:val="22"/>
        </w:rPr>
        <w:t>solves everything</w:t>
      </w: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 or "fully autonomous research partner."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Pair product copy with links to the </w:t>
      </w:r>
      <w:hyperlink r:id="rId12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cookbook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 and </w:t>
      </w:r>
      <w:hyperlink r:id="rId13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evaluation notes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.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When showing a default parameter set like </w:t>
      </w:r>
      <w:r>
        <w:rPr>
          <w:rFonts w:ascii="Menlo" w:hAnsi="Menlo" w:eastAsia="Menlo" w:cs="Menlo"/>
          <w:color w:val="1F2937"/>
          <w:sz w:val="22"/>
        </w:rPr>
        <w:t>reasoning_mode=balanced</w:t>
      </w: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, explain the trade-off in plain language.</w:t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Words To Use / 谨慎措辞</w:t>
      </w:r>
    </w:p>
    <w:p>
      <w:pPr>
        <w:spacing w:before="0" w:after="160" w:line="20" w:lineRule="exact"/>
      </w:pPr>
    </w:p>
    <w:tbl>
      <w:tblPr>
        <w:jc w:val="center"/>
        <w:tblLook w:firstColumn="1" w:firstRow="1" w:lastColumn="0" w:lastRow="0" w:noHBand="0" w:noVBand="1" w:val="04A0"/>
        <w:tblLayout w:type="fixed"/>
        <w:tblW w:w="9072" w:type="dxa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  <w:tblCellMar>
          <w:top w:w="40" w:type="dxa"/>
          <w:left w:w="80" w:type="dxa"/>
          <w:bottom w:w="40" w:type="dxa"/>
          <w:right w:w="80" w:type="dxa"/>
        </w:tblCellMar>
      </w:tblPr>
      <w:tblGrid>
        <w:gridCol w:w="2592"/>
        <w:gridCol w:w="2592"/>
        <w:gridCol w:w="3888"/>
      </w:tblGrid>
      <w:tr>
        <w:tc>
          <w:tcPr>
            <w:tcW w:w="2592" w:type="dxa"/>
            <w:vAlign w:val="center"/>
            <w:shd w:fill="FCE7F3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Prefer</w:t>
            </w:r>
          </w:p>
        </w:tc>
        <w:tc>
          <w:tcPr>
            <w:tcW w:w="2592" w:type="dxa"/>
            <w:vAlign w:val="center"/>
            <w:shd w:fill="FCE7F3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Avoid</w:t>
            </w:r>
          </w:p>
        </w:tc>
        <w:tc>
          <w:tcPr>
            <w:tcW w:w="3888" w:type="dxa"/>
            <w:vAlign w:val="center"/>
            <w:shd w:fill="FCE7F3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Reason</w:t>
            </w:r>
          </w:p>
        </w:tc>
      </w:tr>
      <w:tr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stronger tool use</w:t>
            </w:r>
          </w:p>
        </w:tc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fully autonomous agent</w:t>
            </w:r>
          </w:p>
        </w:tc>
        <w:tc>
          <w:tcPr>
            <w:tcW w:w="3888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The latter overstates the operating model</w:t>
            </w:r>
          </w:p>
        </w:tc>
      </w:tr>
      <w:tr>
        <w:tc>
          <w:tcPr>
            <w:tcW w:w="2592" w:type="dxa"/>
            <w:vAlign w:val="center"/>
            <w:shd w:fill="FDF2F8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long-context reliability</w:t>
            </w:r>
          </w:p>
        </w:tc>
        <w:tc>
          <w:tcPr>
            <w:tcW w:w="2592" w:type="dxa"/>
            <w:vAlign w:val="center"/>
            <w:shd w:fill="FDF2F8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unlimited memory</w:t>
            </w:r>
          </w:p>
        </w:tc>
        <w:tc>
          <w:tcPr>
            <w:tcW w:w="3888" w:type="dxa"/>
            <w:vAlign w:val="center"/>
            <w:shd w:fill="FDF2F8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Readers interpret the latter literally</w:t>
            </w:r>
          </w:p>
        </w:tc>
      </w:tr>
      <w:tr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deployment guidance</w:t>
            </w:r>
          </w:p>
        </w:tc>
        <w:tc>
          <w:tcPr>
            <w:tcW w:w="259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magic</w:t>
            </w:r>
          </w:p>
        </w:tc>
        <w:tc>
          <w:tcPr>
            <w:tcW w:w="3888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Clearer for product and policy teams</w:t>
            </w:r>
          </w:p>
        </w:tc>
      </w:tr>
    </w:tbl>
    <w:p>
      <w:pPr>
        <w:spacing w:before="0" w:after="240" w:line="20" w:lineRule="exact"/>
      </w:pP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Availability By Channel / 发布渠道</w:t>
      </w:r>
    </w:p>
    <w:p>
      <w:pPr>
        <w:spacing w:before="0" w:after="160" w:line="20" w:lineRule="exact"/>
      </w:pPr>
    </w:p>
    <w:tbl>
      <w:tblPr>
        <w:jc w:val="center"/>
        <w:tblLook w:firstColumn="1" w:firstRow="1" w:lastColumn="0" w:lastRow="0" w:noHBand="0" w:noVBand="1" w:val="04A0"/>
        <w:tblLayout w:type="fixed"/>
        <w:tblW w:w="9072" w:type="dxa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  <w:tblCellMar>
          <w:top w:w="40" w:type="dxa"/>
          <w:left w:w="80" w:type="dxa"/>
          <w:bottom w:w="40" w:type="dxa"/>
          <w:right w:w="80" w:type="dxa"/>
        </w:tblCellMar>
      </w:tblPr>
      <w:tblGrid>
        <w:gridCol w:w="3024"/>
        <w:gridCol w:w="4536"/>
        <w:gridCol w:w="1512"/>
      </w:tblGrid>
      <w:tr>
        <w:tc>
          <w:tcPr>
            <w:tcW w:w="3024" w:type="dxa"/>
            <w:vAlign w:val="center"/>
            <w:shd w:fill="DBEA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Channel</w:t>
            </w:r>
          </w:p>
        </w:tc>
        <w:tc>
          <w:tcPr>
            <w:tcW w:w="4536" w:type="dxa"/>
            <w:vAlign w:val="center"/>
            <w:shd w:fill="DBEA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Notes</w:t>
            </w:r>
          </w:p>
        </w:tc>
        <w:tc>
          <w:tcPr>
            <w:tcW w:w="1512" w:type="dxa"/>
            <w:vAlign w:val="center"/>
            <w:shd w:fill="DBEAFE" w:val="clear"/>
          </w:tcPr>
          <w:p>
            <w:pPr>
              <w:spacing w:before="60" w:after="60"/>
              <w:jc w:val="left"/>
            </w:pPr>
            <w:r>
              <w:rPr>
                <w:rFonts w:ascii="Georgia" w:hAnsi="Georgia" w:eastAsia="Georgia" w:cs="Georgia"/>
                <w:b/>
                <w:i w:val="0"/>
                <w:strike w:val="0"/>
                <w:color w:val="1F2937"/>
                <w:sz w:val="22"/>
              </w:rPr>
              <w:t>Window</w:t>
            </w:r>
          </w:p>
        </w:tc>
      </w:tr>
      <w:tr>
        <w:tc>
          <w:tcPr>
            <w:tcW w:w="3024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API</w:t>
            </w:r>
          </w:p>
        </w:tc>
        <w:tc>
          <w:tcPr>
            <w:tcW w:w="4536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Default access for enterprise tenants and builders</w:t>
            </w:r>
          </w:p>
        </w:tc>
        <w:tc>
          <w:tcPr>
            <w:tcW w:w="151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March 2026</w:t>
            </w:r>
          </w:p>
        </w:tc>
      </w:tr>
      <w:tr>
        <w:tc>
          <w:tcPr>
            <w:tcW w:w="3024" w:type="dxa"/>
            <w:vAlign w:val="center"/>
            <w:shd w:fill="EFF6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Chat product</w:t>
            </w:r>
          </w:p>
        </w:tc>
        <w:tc>
          <w:tcPr>
            <w:tcW w:w="4536" w:type="dxa"/>
            <w:vAlign w:val="center"/>
            <w:shd w:fill="EFF6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Staged rollout with opt-in labeling</w:t>
            </w:r>
          </w:p>
        </w:tc>
        <w:tc>
          <w:tcPr>
            <w:tcW w:w="1512" w:type="dxa"/>
            <w:vAlign w:val="center"/>
            <w:shd w:fill="EFF6FF" w:val="clea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April 2026</w:t>
            </w:r>
          </w:p>
        </w:tc>
      </w:tr>
      <w:tr>
        <w:tc>
          <w:tcPr>
            <w:tcW w:w="3024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Research preview</w:t>
            </w:r>
          </w:p>
        </w:tc>
        <w:tc>
          <w:tcPr>
            <w:tcW w:w="4536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Limited access for partner labs</w:t>
            </w:r>
          </w:p>
        </w:tc>
        <w:tc>
          <w:tcPr>
            <w:tcW w:w="1512" w:type="dxa"/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Georgia" w:hAnsi="Georgia" w:eastAsia="Georgia" w:cs="Georgia"/>
                <w:b w:val="0"/>
                <w:i w:val="0"/>
                <w:strike w:val="0"/>
                <w:color w:val="1F2937"/>
                <w:sz w:val="22"/>
              </w:rPr>
              <w:t>By request</w:t>
            </w:r>
          </w:p>
        </w:tc>
      </w:tr>
    </w:tbl>
    <w:p>
      <w:pPr>
        <w:spacing w:before="0" w:after="240" w:line="20" w:lineRule="exact"/>
      </w:pP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Editorial Notes</w:t>
      </w:r>
    </w:p>
    <w:p>
      <w:pPr>
        <w:spacing w:before="0" w:after="140" w:line="300" w:lineRule="auto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The launch brief should read like a product story, not an internal architecture memo. Keep the opening concise, surface the primary audience quickly, and use short tables when a paragraph would be harder to scan.</w:t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Example Copy / 示例文案</w:t>
      </w:r>
    </w:p>
    <w:p>
      <w:pPr>
        <w:spacing w:before="160" w:after="200" w:line="276" w:lineRule="auto"/>
        <w:shd w:fill="312E81" w:val="clear"/>
      </w:pPr>
      <w:r>
        <w:rPr>
          <w:rFonts w:ascii="Menlo" w:hAnsi="Menlo" w:eastAsia="Menlo" w:cs="Menlo"/>
          <w:color w:val="EDE9FE"/>
          <w:sz w:val="19"/>
        </w:rPr>
        <w:t>Frontier Reasoner 2 helps teams handle multi-step reasoning with clearer tool use, steadier long-context behavior, and more transparent deployment guidance.</w:t>
        <w:br/>
        <w:t>在对外材料中，请同时说明推荐场景、限制条件，以及应链接到 system card 的安全说明。</w:t>
      </w:r>
    </w:p>
    <w:p>
      <w:pPr>
        <w:spacing w:before="0" w:after="160" w:line="40" w:lineRule="exact"/>
        <w:pBdr>
          <w:bottom w:val="single" w:sz="4" w:space="4" w:color="D1D5DB"/>
        </w:pBdr>
      </w:pPr>
      <w:r>
        <w:rPr>
          <w:sz w:val="4"/>
        </w:rPr>
      </w:r>
    </w:p>
    <w:p>
      <w:r>
        <w:br w:type="page"/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caps/>
          <w:strike w:val="0"/>
          <w:color w:val="7C3AED"/>
          <w:sz w:val="22"/>
        </w:rPr>
        <w:t>Frequently Asked Questions / 常见问题</w:t>
      </w:r>
    </w:p>
    <w:p>
      <w:pPr>
        <w:pStyle w:val="ListNumber"/>
        <w:numPr>
          <w:ilvl w:val="0"/>
          <w:numId w:val="11"/>
        </w:numPr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Does this replace Frontier Reasoner 1?</w:t>
      </w:r>
    </w:p>
    <w:p>
      <w:pPr>
        <w:pStyle w:val="ListBullet2"/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No. Frontier Reasoner 1 remains useful for cost-sensitive fallback paths and stable existing integrations.</w:t>
      </w:r>
    </w:p>
    <w:p>
      <w:pPr>
        <w:pStyle w:val="ListNumber"/>
        <w:numPr>
          <w:ilvl w:val="0"/>
          <w:numId w:val="11"/>
        </w:numPr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Is the model multilingual?</w:t>
      </w:r>
    </w:p>
    <w:p>
      <w:pPr>
        <w:pStyle w:val="ListBullet2"/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Yes. It is designed to perform well in English and Chinese workflows, but launch materials should still describe language coverage precisely.</w:t>
      </w:r>
    </w:p>
    <w:p>
      <w:pPr>
        <w:pStyle w:val="ListNumber"/>
        <w:numPr>
          <w:ilvl w:val="0"/>
          <w:numId w:val="11"/>
        </w:numPr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Where should safety claims live?</w:t>
      </w:r>
    </w:p>
    <w:p>
      <w:pPr>
        <w:pStyle w:val="ListBullet2"/>
        <w:spacing w:before="40" w:after="140" w:line="300" w:lineRule="auto"/>
        <w:ind w:left="1008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 xml:space="preserve">Product pages should summarize them briefly and link to the formal </w:t>
      </w:r>
      <w:hyperlink r:id="rId11">
        <w:r>
          <w:rPr>
            <w:rFonts w:ascii="Georgia" w:hAnsi="Georgia" w:eastAsia="Georgia" w:cs="Georgia"/>
            <w:b w:val="0"/>
            <w:i w:val="0"/>
            <w:strike w:val="0"/>
            <w:color w:val="7C3AED"/>
            <w:sz w:val="22"/>
            <w:u w:val="single"/>
          </w:rPr>
          <w:t>system card</w:t>
        </w:r>
      </w:hyperlink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.</w:t>
      </w:r>
    </w:p>
    <w:p>
      <w:pPr>
        <w:spacing w:before="440" w:after="160"/>
      </w:pPr>
      <w:r>
        <w:rPr>
          <w:rFonts w:ascii="Aptos" w:hAnsi="Aptos" w:eastAsia="Aptos" w:cs="Aptos"/>
          <w:b/>
          <w:i w:val="0"/>
          <w:strike w:val="0"/>
          <w:color w:val="111827"/>
          <w:sz w:val="22"/>
        </w:rPr>
        <w:t>Reader Checklist / 读者检查清单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Is the title block visually distinct from the body?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Do the bilingual sections remain easy to scan after export and import?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Are links visibly styled as links rather than body text?</w:t>
      </w:r>
    </w:p>
    <w:p>
      <w:pPr>
        <w:pStyle w:val="ListBullet"/>
        <w:spacing w:before="40" w:after="140" w:line="300" w:lineRule="auto"/>
        <w:ind w:left="504"/>
      </w:pPr>
      <w:r>
        <w:rPr>
          <w:rFonts w:ascii="Georgia" w:hAnsi="Georgia" w:eastAsia="Georgia" w:cs="Georgia"/>
          <w:b w:val="0"/>
          <w:i w:val="0"/>
          <w:strike w:val="0"/>
          <w:color w:val="1F2937"/>
          <w:sz w:val="22"/>
        </w:rPr>
        <w:t>Does the launch brief feel editorial instead of corporate or engineering-heavy?</w:t>
      </w:r>
    </w:p>
    <w:sectPr w:rsidR="00FC693F" w:rsidRPr="0006063C" w:rsidSect="00034616">
      <w:footerReference w:type="default" r:id="rId9"/>
      <w:pgSz w:w="12240" w:h="15840"/>
      <w:pgMar w:top="1296" w:right="1584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160"/>
      <w:jc w:val="left"/>
      <w:pBdr>
        <w:top w:val="single" w:sz="4" w:space="4" w:color="DDD6FE"/>
      </w:pBdr>
      <w:tabs>
        <w:tab w:val="center" w:pos="4536"/>
        <w:tab w:val="right" w:pos="9072"/>
      </w:tabs>
    </w:pPr>
    <w:r>
      <w:rPr>
        <w:rFonts w:ascii="Aptos" w:hAnsi="Aptos" w:eastAsia="Aptos" w:cs="Aptos"/>
        <w:b w:val="0"/>
        <w:i w:val="0"/>
        <w:strike w:val="0"/>
        <w:color w:val="6B7280"/>
        <w:sz w:val="16"/>
      </w:rPr>
      <w:t>Launch Brief</w:t>
    </w:r>
    <w:r>
      <w:rPr>
        <w:rFonts w:ascii="Aptos" w:hAnsi="Aptos" w:eastAsia="Aptos" w:cs="Aptos"/>
        <w:color w:val="6B7280"/>
        <w:sz w:val="16"/>
      </w:rPr>
      <w:tab/>
    </w:r>
    <w:r>
      <w:rPr>
        <w:rFonts w:ascii="Aptos" w:hAnsi="Aptos" w:eastAsia="Aptos" w:cs="Aptos"/>
        <w:b w:val="0"/>
        <w:i w:val="0"/>
        <w:strike w:val="0"/>
        <w:color w:val="6B7280"/>
        <w:sz w:val="16"/>
      </w:rPr>
      <w:t>Frontier Reasoner 2</w:t>
    </w:r>
    <w:r>
      <w:rPr>
        <w:rFonts w:ascii="Aptos" w:hAnsi="Aptos" w:eastAsia="Aptos" w:cs="Aptos"/>
        <w:color w:val="6B7280"/>
        <w:sz w:val="16"/>
      </w:rPr>
      <w:tab/>
    </w:r>
    <w:r>
      <w:rPr>
        <w:rFonts w:ascii="Aptos" w:hAnsi="Aptos" w:eastAsia="Aptos" w:cs="Aptos"/>
        <w:color w:val="6B7280"/>
        <w:sz w:val="16"/>
      </w:rPr>
      <w:fldChar w:fldCharType="begin"/>
    </w:r>
    <w:r>
      <w:rPr>
        <w:rFonts w:ascii="Aptos" w:hAnsi="Aptos" w:eastAsia="Aptos" w:cs="Aptos"/>
        <w:color w:val="6B7280"/>
        <w:sz w:val="16"/>
      </w:rPr>
      <w:instrText xml:space="preserve"> PAGE </w:instrText>
    </w:r>
    <w:r>
      <w:rPr>
        <w:rFonts w:ascii="Aptos" w:hAnsi="Aptos" w:eastAsia="Aptos" w:cs="Aptos"/>
        <w:color w:val="6B7280"/>
        <w:sz w:val="16"/>
      </w:rPr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ame w:val="mdc-alpha_paren_hierarchical"/>
    <w:multiLevelType w:val="multilevel"/>
    <w:lvl w:ilvl="0">
      <w:start w:val="1"/>
      <w:numFmt w:val="decimal"/>
      <w:lvlText w:val="%1."/>
      <w:lvlJc w:val="left"/>
      <w:pPr>
        <w:tabs>
          <w:tab w:val="num" w:pos="503"/>
        </w:tabs>
        <w:ind w:left="503" w:hanging="360"/>
      </w:pPr>
    </w:lvl>
    <w:lvl w:ilvl="1">
      <w:start w:val="1"/>
      <w:numFmt w:val="lowerLetter"/>
      <w:lvlText w:val="%1(%2)"/>
      <w:lvlJc w:val="left"/>
      <w:pPr>
        <w:tabs>
          <w:tab w:val="num" w:pos="1007"/>
        </w:tabs>
        <w:ind w:left="1007" w:hanging="360"/>
      </w:pPr>
    </w:lvl>
    <w:lvl w:ilvl="2">
      <w:start w:val="1"/>
      <w:numFmt w:val="lowerRoman"/>
      <w:lvlText w:val="%1(%2)(%3)"/>
      <w:lvlJc w:val="left"/>
      <w:pPr>
        <w:tabs>
          <w:tab w:val="num" w:pos="1511"/>
        </w:tabs>
        <w:ind w:left="1511" w:hanging="360"/>
      </w:pPr>
    </w:lvl>
    <w:lvl w:ilvl="3">
      <w:start w:val="1"/>
      <w:numFmt w:val="decimal"/>
      <w:lvlText w:val="%1(%2)(%3).%4"/>
      <w:lvlJc w:val="left"/>
      <w:pPr>
        <w:tabs>
          <w:tab w:val="num" w:pos="2015"/>
        </w:tabs>
        <w:ind w:left="2015" w:hanging="360"/>
      </w:pPr>
    </w:lvl>
    <w:lvl w:ilvl="4">
      <w:start w:val="1"/>
      <w:numFmt w:val="decimal"/>
      <w:lvlText w:val="%1(%2)(%3).%4.%5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(%2)(%3).%4.%5.%6"/>
      <w:lvlJc w:val="left"/>
      <w:pPr>
        <w:tabs>
          <w:tab w:val="num" w:pos="3023"/>
        </w:tabs>
        <w:ind w:left="3023" w:hanging="360"/>
      </w:pPr>
    </w:lvl>
    <w:lvl w:ilvl="6">
      <w:start w:val="1"/>
      <w:numFmt w:val="decimal"/>
      <w:lvlText w:val="%1(%2)(%3).%4.%5.%6.%7"/>
      <w:lvlJc w:val="left"/>
      <w:pPr>
        <w:tabs>
          <w:tab w:val="num" w:pos="3527"/>
        </w:tabs>
        <w:ind w:left="3527" w:hanging="360"/>
      </w:pPr>
    </w:lvl>
    <w:lvl w:ilvl="7">
      <w:start w:val="1"/>
      <w:numFmt w:val="decimal"/>
      <w:lvlText w:val="%1(%2)(%3).%4.%5.%6.%7.%8"/>
      <w:lvlJc w:val="left"/>
      <w:pPr>
        <w:tabs>
          <w:tab w:val="num" w:pos="4031"/>
        </w:tabs>
        <w:ind w:left="4031" w:hanging="360"/>
      </w:pPr>
    </w:lvl>
    <w:lvl w:ilvl="8">
      <w:start w:val="1"/>
      <w:numFmt w:val="decimal"/>
      <w:lvlText w:val="%1(%2)(%3).%4.%5.%6.%7.%8.%9"/>
      <w:lvlJc w:val="left"/>
      <w:pPr>
        <w:tabs>
          <w:tab w:val="num" w:pos="4536"/>
        </w:tabs>
        <w:ind w:left="4536" w:hanging="360"/>
      </w:pPr>
    </w:lvl>
  </w:abstract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abstractNum w:abstractNumId="10">
    <w:name w:val="mdc-decimal_hierarchical"/>
    <w:multiLevelType w:val="multilevel"/>
    <w:lvl w:ilvl="0">
      <w:start w:val="1"/>
      <w:numFmt w:val="decimal"/>
      <w:lvlText w:val="%1."/>
      <w:lvlJc w:val="left"/>
      <w:pPr>
        <w:tabs>
          <w:tab w:val="num" w:pos="503"/>
        </w:tabs>
        <w:ind w:left="503" w:hanging="360"/>
      </w:pPr>
    </w:lvl>
    <w:lvl w:ilvl="1">
      <w:start w:val="1"/>
      <w:numFmt w:val="decimal"/>
      <w:lvlText w:val="%1.%2"/>
      <w:lvlJc w:val="left"/>
      <w:pPr>
        <w:tabs>
          <w:tab w:val="num" w:pos="1007"/>
        </w:tabs>
        <w:ind w:left="1007" w:hanging="360"/>
      </w:pPr>
    </w:lvl>
    <w:lvl w:ilvl="2">
      <w:start w:val="1"/>
      <w:numFmt w:val="decimal"/>
      <w:lvlText w:val="%1.%2.%3"/>
      <w:lvlJc w:val="left"/>
      <w:pPr>
        <w:tabs>
          <w:tab w:val="num" w:pos="1511"/>
        </w:tabs>
        <w:ind w:left="1511" w:hanging="360"/>
      </w:pPr>
    </w:lvl>
    <w:lvl w:ilvl="3">
      <w:start w:val="1"/>
      <w:numFmt w:val="decimal"/>
      <w:lvlText w:val="%1.%2.%3.%4"/>
      <w:lvlJc w:val="left"/>
      <w:pPr>
        <w:tabs>
          <w:tab w:val="num" w:pos="2015"/>
        </w:tabs>
        <w:ind w:left="2015" w:hanging="36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"/>
      <w:lvlJc w:val="left"/>
      <w:pPr>
        <w:tabs>
          <w:tab w:val="num" w:pos="3023"/>
        </w:tabs>
        <w:ind w:left="3023" w:hanging="360"/>
      </w:pPr>
    </w:lvl>
    <w:lvl w:ilvl="6">
      <w:start w:val="1"/>
      <w:numFmt w:val="decimal"/>
      <w:lvlText w:val="%1.%2.%3.%4.%5.%6.%7"/>
      <w:lvlJc w:val="left"/>
      <w:pPr>
        <w:tabs>
          <w:tab w:val="num" w:pos="3527"/>
        </w:tabs>
        <w:ind w:left="3527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4031"/>
        </w:tabs>
        <w:ind w:left="4031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4536"/>
        </w:tabs>
        <w:ind w:left="4536" w:hanging="360"/>
      </w:pPr>
    </w:lvl>
  </w:abstract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Relationship Id="rId11" Type="http://schemas.openxmlformats.org/officeDocument/2006/relationships/hyperlink" Target="https://opena1.example/system-card" TargetMode="External"/><Relationship Id="rId12" Type="http://schemas.openxmlformats.org/officeDocument/2006/relationships/hyperlink" Target="https://opena1.example/cookbook" TargetMode="External"/><Relationship Id="rId13" Type="http://schemas.openxmlformats.org/officeDocument/2006/relationships/hyperlink" Target="https://opena1.example/ev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OpenA1 Launch Brief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