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Arial" w:hAnsi="Arial" w:eastAsia="Arial" w:cs="Arial"/>
          <w:b w:val="0"/>
          <w:i w:val="0"/>
          <w:strike w:val="0"/>
          <w:color w:val="5F6368"/>
          <w:sz w:val="18"/>
        </w:rPr>
        <w:t>Offer Packet</w:t>
      </w:r>
    </w:p>
    <w:tbl>
      <w:tblPr>
        <w:tblW w:type="auto" w:w="0"/>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5148"/>
        <w:gridCol w:w="4212"/>
      </w:tblGrid>
      <w:tr>
        <w:tc>
          <w:tcPr>
            <w:tcW w:type="dxa" w:w="4680"/>
            <w:tcBorders>
              <w:top w:val="none" w:sz="0" w:space="0" w:color="auto"/>
              <w:left w:val="none" w:sz="0" w:space="0" w:color="auto"/>
              <w:bottom w:val="none" w:sz="0" w:space="0" w:color="auto"/>
              <w:right w:val="none" w:sz="0" w:space="0" w:color="auto"/>
            </w:tcBorders>
            <w:tcMar>
              <w:top w:w="0" w:type="dxa"/>
              <w:left w:w="0" w:type="dxa"/>
              <w:bottom w:w="0" w:type="dxa"/>
              <w:right w:w="0" w:type="dxa"/>
            </w:tcMar>
          </w:tcPr>
          <w:p>
            <w:pPr>
              <w:spacing w:before="0" w:after="40"/>
            </w:pPr>
            <w:r>
              <w:rPr>
                <w:rFonts w:ascii="Arial" w:hAnsi="Arial" w:eastAsia="Arial" w:cs="Arial"/>
                <w:b w:val="0"/>
                <w:i w:val="0"/>
                <w:strike w:val="0"/>
                <w:color w:val="5F6368"/>
                <w:sz w:val="18"/>
              </w:rPr>
            </w:r>
            <w:r>
              <w:rPr>
                <w:rFonts w:ascii="Arial" w:hAnsi="Arial" w:eastAsia="Arial" w:cs="Arial"/>
                <w:b/>
                <w:i w:val="0"/>
                <w:strike w:val="0"/>
                <w:color w:val="5F6368"/>
                <w:sz w:val="18"/>
              </w:rPr>
              <w:t>Goggle LLC</w:t>
            </w:r>
            <w:r>
              <w:rPr>
                <w:rFonts w:ascii="Arial" w:hAnsi="Arial" w:eastAsia="Arial" w:cs="Arial"/>
                <w:b w:val="0"/>
                <w:i w:val="0"/>
                <w:strike w:val="0"/>
                <w:color w:val="5F6368"/>
                <w:sz w:val="18"/>
              </w:rPr>
            </w:r>
            <w:r>
              <w:br/>
            </w:r>
            <w:r>
              <w:rPr>
                <w:rFonts w:ascii="Arial" w:hAnsi="Arial" w:eastAsia="Arial" w:cs="Arial"/>
                <w:b w:val="0"/>
                <w:i w:val="0"/>
                <w:strike w:val="0"/>
                <w:color w:val="5F6368"/>
                <w:sz w:val="18"/>
              </w:rPr>
              <w:t>1600 Amphitheatre Parkway</w:t>
            </w:r>
            <w:r>
              <w:br/>
            </w:r>
            <w:r>
              <w:rPr>
                <w:rFonts w:ascii="Arial" w:hAnsi="Arial" w:eastAsia="Arial" w:cs="Arial"/>
                <w:b w:val="0"/>
                <w:i w:val="0"/>
                <w:strike w:val="0"/>
                <w:color w:val="5F6368"/>
                <w:sz w:val="18"/>
              </w:rPr>
              <w:t>Mountain View, CA 94043</w:t>
            </w:r>
          </w:p>
        </w:tc>
        <w:tc>
          <w:tcPr>
            <w:tcW w:type="dxa" w:w="4680"/>
            <w:tcBorders>
              <w:top w:val="none" w:sz="0" w:space="0" w:color="auto"/>
              <w:left w:val="none" w:sz="0" w:space="0" w:color="auto"/>
              <w:bottom w:val="none" w:sz="0" w:space="0" w:color="auto"/>
              <w:right w:val="none" w:sz="0" w:space="0" w:color="auto"/>
            </w:tcBorders>
            <w:tcMar>
              <w:top w:w="0" w:type="dxa"/>
              <w:left w:w="0" w:type="dxa"/>
              <w:bottom w:w="0" w:type="dxa"/>
              <w:right w:w="0" w:type="dxa"/>
            </w:tcMar>
          </w:tcPr>
          <w:p>
            <w:pPr>
              <w:spacing w:before="0" w:after="40"/>
              <w:jc w:val="right"/>
            </w:pPr>
            <w:r>
              <w:rPr>
                <w:rFonts w:ascii="Arial" w:hAnsi="Arial" w:eastAsia="Arial" w:cs="Arial"/>
                <w:b w:val="0"/>
                <w:i w:val="0"/>
                <w:strike w:val="0"/>
                <w:color w:val="5F6368"/>
                <w:sz w:val="18"/>
              </w:rPr>
              <w:t>March 19, 2026</w:t>
            </w:r>
          </w:p>
          <w:p>
            <w:pPr>
              <w:spacing w:before="0" w:after="40"/>
              <w:jc w:val="right"/>
            </w:pPr>
            <w:r>
              <w:rPr>
                <w:rFonts w:ascii="Arial" w:hAnsi="Arial" w:eastAsia="Arial" w:cs="Arial"/>
                <w:b w:val="0"/>
                <w:i w:val="0"/>
                <w:strike w:val="0"/>
                <w:color w:val="5F6368"/>
                <w:sz w:val="18"/>
              </w:rPr>
              <w:t>Jordan Chen</w:t>
            </w:r>
            <w:r>
              <w:br/>
            </w:r>
            <w:r>
              <w:rPr>
                <w:rFonts w:ascii="Arial" w:hAnsi="Arial" w:eastAsia="Arial" w:cs="Arial"/>
                <w:b w:val="0"/>
                <w:i w:val="0"/>
                <w:strike w:val="0"/>
                <w:color w:val="5F6368"/>
                <w:sz w:val="18"/>
              </w:rPr>
              <w:t>1842 Elm Street, Apt 7B</w:t>
            </w:r>
            <w:r>
              <w:br/>
            </w:r>
            <w:r>
              <w:rPr>
                <w:rFonts w:ascii="Arial" w:hAnsi="Arial" w:eastAsia="Arial" w:cs="Arial"/>
                <w:b w:val="0"/>
                <w:i w:val="0"/>
                <w:strike w:val="0"/>
                <w:color w:val="5F6368"/>
                <w:sz w:val="18"/>
              </w:rPr>
              <w:t>San Jose, CA 95112</w:t>
            </w:r>
          </w:p>
        </w:tc>
      </w:tr>
    </w:tbl>
    <w:p>
      <w:pPr>
        <w:spacing w:before="0" w:after="160" w:line="40" w:lineRule="exact"/>
        <w:pBdr>
          <w:bottom w:val="single" w:sz="4" w:space="4" w:color="D1D5DB"/>
        </w:pBdr>
      </w:pPr>
      <w:r>
        <w:rPr>
          <w:sz w:val="4"/>
        </w:rPr>
      </w:r>
    </w:p>
    <w:p>
      <w:pPr>
        <w:spacing w:before="0" w:after="120" w:line="276" w:lineRule="auto"/>
      </w:pPr>
      <w:r>
        <w:rPr>
          <w:rFonts w:ascii="Arial" w:hAnsi="Arial" w:eastAsia="Arial" w:cs="Arial"/>
          <w:b w:val="0"/>
          <w:i w:val="0"/>
          <w:strike w:val="0"/>
          <w:color w:val="202124"/>
          <w:sz w:val="21"/>
        </w:rPr>
      </w:r>
      <w:r>
        <w:rPr>
          <w:rFonts w:ascii="Arial" w:hAnsi="Arial" w:eastAsia="Arial" w:cs="Arial"/>
          <w:b/>
          <w:i w:val="0"/>
          <w:strike w:val="0"/>
          <w:color w:val="202124"/>
          <w:sz w:val="21"/>
        </w:rPr>
        <w:t>Subject: Offer of Employment — Senior Software Engineer (L5)</w:t>
      </w:r>
      <w:r>
        <w:rPr>
          <w:rFonts w:ascii="Arial" w:hAnsi="Arial" w:eastAsia="Arial" w:cs="Arial"/>
          <w:b w:val="0"/>
          <w:i w:val="0"/>
          <w:strike w:val="0"/>
          <w:color w:val="202124"/>
          <w:sz w:val="21"/>
        </w:rPr>
      </w:r>
    </w:p>
    <w:p>
      <w:pPr>
        <w:spacing w:before="0" w:after="120" w:line="276" w:lineRule="auto"/>
      </w:pPr>
      <w:r>
        <w:rPr>
          <w:rFonts w:ascii="Arial" w:hAnsi="Arial" w:eastAsia="Arial" w:cs="Arial"/>
          <w:b w:val="0"/>
          <w:i w:val="0"/>
          <w:strike w:val="0"/>
          <w:color w:val="202124"/>
          <w:sz w:val="21"/>
        </w:rPr>
        <w:t>Dear Jordan,</w:t>
      </w:r>
    </w:p>
    <w:p>
      <w:pPr>
        <w:spacing w:before="0" w:after="120" w:line="276" w:lineRule="auto"/>
      </w:pPr>
      <w:r>
        <w:rPr>
          <w:rFonts w:ascii="Arial" w:hAnsi="Arial" w:eastAsia="Arial" w:cs="Arial"/>
          <w:b w:val="0"/>
          <w:i w:val="0"/>
          <w:strike w:val="0"/>
          <w:color w:val="202124"/>
          <w:sz w:val="21"/>
        </w:rPr>
        <w:t xml:space="preserve">On behalf of Goggle LLC, we are pleased to extend to you an offer of employment for the position of </w:t>
      </w:r>
      <w:r>
        <w:rPr>
          <w:rFonts w:ascii="Arial" w:hAnsi="Arial" w:eastAsia="Arial" w:cs="Arial"/>
          <w:b/>
          <w:i w:val="0"/>
          <w:strike w:val="0"/>
          <w:color w:val="202124"/>
          <w:sz w:val="21"/>
        </w:rPr>
        <w:t>Senior Software Engineer (L5)</w:t>
      </w:r>
      <w:r>
        <w:rPr>
          <w:rFonts w:ascii="Arial" w:hAnsi="Arial" w:eastAsia="Arial" w:cs="Arial"/>
          <w:b w:val="0"/>
          <w:i w:val="0"/>
          <w:strike w:val="0"/>
          <w:color w:val="202124"/>
          <w:sz w:val="21"/>
        </w:rPr>
        <w:t xml:space="preserve"> on the Cloud Infrastructure team. You will report to Maria Rodriguez, Engineering Director. Your anticipated start date is </w:t>
      </w:r>
      <w:r>
        <w:rPr>
          <w:rFonts w:ascii="Arial" w:hAnsi="Arial" w:eastAsia="Arial" w:cs="Arial"/>
          <w:b/>
          <w:i w:val="0"/>
          <w:strike w:val="0"/>
          <w:color w:val="202124"/>
          <w:sz w:val="21"/>
        </w:rPr>
        <w:t>May 5, 2026</w:t>
      </w:r>
      <w:r>
        <w:rPr>
          <w:rFonts w:ascii="Arial" w:hAnsi="Arial" w:eastAsia="Arial" w:cs="Arial"/>
          <w:b w:val="0"/>
          <w:i w:val="0"/>
          <w:strike w:val="0"/>
          <w:color w:val="202124"/>
          <w:sz w:val="21"/>
        </w:rPr>
        <w:t xml:space="preserve">, and your primary work location will be our Mountain View, CA campus. Your internal level will be recorded as </w:t>
      </w:r>
      <w:r>
        <w:rPr>
          <w:rFonts w:ascii="Consolas" w:hAnsi="Consolas" w:eastAsia="Consolas" w:cs="Consolas"/>
          <w:color w:val="202124"/>
          <w:sz w:val="21"/>
        </w:rPr>
        <w:t>L5</w:t>
      </w:r>
      <w:r>
        <w:rPr>
          <w:rFonts w:ascii="Arial" w:hAnsi="Arial" w:eastAsia="Arial" w:cs="Arial"/>
          <w:b w:val="0"/>
          <w:i w:val="0"/>
          <w:strike w:val="0"/>
          <w:color w:val="202124"/>
          <w:sz w:val="21"/>
        </w:rPr>
        <w:t xml:space="preserve">, and your candidate materials will remain available in the </w:t>
      </w:r>
      <w:hyperlink r:id="rId11">
        <w:r>
          <w:rPr>
            <w:rFonts w:ascii="Arial" w:hAnsi="Arial" w:eastAsia="Arial" w:cs="Arial"/>
            <w:b w:val="0"/>
            <w:i w:val="0"/>
            <w:strike w:val="0"/>
            <w:color w:val="1A73E8"/>
            <w:sz w:val="21"/>
            <w:u w:val="single"/>
          </w:rPr>
          <w:t>candidate portal</w:t>
        </w:r>
      </w:hyperlink>
      <w:r>
        <w:rPr>
          <w:rFonts w:ascii="Arial" w:hAnsi="Arial" w:eastAsia="Arial" w:cs="Arial"/>
          <w:b w:val="0"/>
          <w:i w:val="0"/>
          <w:strike w:val="0"/>
          <w:color w:val="202124"/>
          <w:sz w:val="21"/>
        </w:rPr>
        <w:t xml:space="preserve"> through your start date.</w:t>
      </w:r>
    </w:p>
    <w:p>
      <w:pPr>
        <w:spacing w:before="440" w:after="160"/>
      </w:pPr>
      <w:r>
        <w:rPr>
          <w:rFonts w:ascii="Arial" w:hAnsi="Arial" w:eastAsia="Arial" w:cs="Arial"/>
          <w:b/>
          <w:i w:val="0"/>
          <w:strike w:val="0"/>
          <w:color w:val="174EA6"/>
          <w:sz w:val="21"/>
        </w:rPr>
        <w:t>Offer Packet Overview</w:t>
      </w:r>
    </w:p>
    <w:p>
      <w:pPr>
        <w:spacing w:before="0" w:after="120" w:line="276" w:lineRule="auto"/>
      </w:pPr>
      <w:r>
        <w:rPr>
          <w:rFonts w:ascii="Arial" w:hAnsi="Arial" w:eastAsia="Arial" w:cs="Arial"/>
          <w:b w:val="0"/>
          <w:i w:val="0"/>
          <w:strike w:val="0"/>
          <w:color w:val="202124"/>
          <w:sz w:val="21"/>
        </w:rPr>
        <w:t>This packet is intentionally structured to make the employment terms, onboarding schedule, and acceptance steps easy to review in one pass.</w:t>
      </w:r>
    </w:p>
    <w:p>
      <w:pPr>
        <w:pStyle w:val="ListNumber"/>
        <w:numPr>
          <w:ilvl w:val="0"/>
          <w:numId w:val="10"/>
        </w:numPr>
        <w:spacing w:before="120" w:after="120" w:line="276" w:lineRule="auto"/>
        <w:ind w:left="504"/>
      </w:pPr>
      <w:r>
        <w:rPr>
          <w:rFonts w:ascii="Arial" w:hAnsi="Arial" w:eastAsia="Arial" w:cs="Arial"/>
          <w:b w:val="0"/>
          <w:i w:val="0"/>
          <w:strike w:val="0"/>
          <w:color w:val="202124"/>
          <w:sz w:val="21"/>
        </w:rPr>
        <w:t>Confirm the role, reporting line, and location.</w:t>
      </w:r>
    </w:p>
    <w:p>
      <w:pPr>
        <w:pStyle w:val="ListBullet2"/>
        <w:spacing w:before="40" w:after="120" w:line="276" w:lineRule="auto"/>
        <w:ind w:left="1008"/>
      </w:pPr>
      <w:r>
        <w:rPr>
          <w:rFonts w:ascii="Arial" w:hAnsi="Arial" w:eastAsia="Arial" w:cs="Arial"/>
          <w:b w:val="0"/>
          <w:i w:val="0"/>
          <w:strike w:val="0"/>
          <w:color w:val="202124"/>
          <w:sz w:val="21"/>
        </w:rPr>
        <w:t>Review the Cloud Infrastructure scope and the expectations of the Senior Software Engineer (L5) level.</w:t>
      </w:r>
    </w:p>
    <w:p>
      <w:pPr>
        <w:pStyle w:val="ListBullet2"/>
        <w:spacing w:before="40" w:after="120" w:line="276" w:lineRule="auto"/>
        <w:ind w:left="1008"/>
      </w:pPr>
      <w:r>
        <w:rPr>
          <w:rFonts w:ascii="Arial" w:hAnsi="Arial" w:eastAsia="Arial" w:cs="Arial"/>
          <w:b w:val="0"/>
          <w:i w:val="0"/>
          <w:strike w:val="0"/>
          <w:color w:val="202124"/>
          <w:sz w:val="21"/>
        </w:rPr>
        <w:t>Confirm that Mountain View remains your primary work location.</w:t>
      </w:r>
    </w:p>
    <w:p>
      <w:pPr>
        <w:pStyle w:val="ListContinue"/>
        <w:spacing w:before="40" w:after="120" w:line="276" w:lineRule="auto"/>
        <w:ind w:left="533"/>
        <w:shd w:fill="FEF7E0" w:val="clear"/>
      </w:pPr>
      <w:r>
        <w:rPr>
          <w:rFonts w:ascii="Arial" w:hAnsi="Arial" w:eastAsia="Arial" w:cs="Arial"/>
          <w:b/>
          <w:i w:val="0"/>
          <w:strike w:val="0"/>
          <w:color w:val="8A4B00"/>
          <w:sz w:val="21"/>
        </w:rPr>
        <w:t>Please send one consolidated list of questions before March 27 so we can answer compensation, relocation, and onboarding items together.</w:t>
      </w:r>
    </w:p>
    <w:p>
      <w:pPr>
        <w:pStyle w:val="ListNumber"/>
        <w:numPr>
          <w:ilvl w:val="0"/>
          <w:numId w:val="10"/>
        </w:numPr>
        <w:spacing w:before="120" w:after="120" w:line="276" w:lineRule="auto"/>
        <w:ind w:left="504"/>
      </w:pPr>
      <w:r>
        <w:rPr>
          <w:rFonts w:ascii="Arial" w:hAnsi="Arial" w:eastAsia="Arial" w:cs="Arial"/>
          <w:b w:val="0"/>
          <w:i w:val="0"/>
          <w:strike w:val="0"/>
          <w:color w:val="202124"/>
          <w:sz w:val="21"/>
        </w:rPr>
        <w:t>Review compensation, work model, and first-week logistics.</w:t>
      </w:r>
    </w:p>
    <w:p>
      <w:pPr>
        <w:pStyle w:val="ListBullet2"/>
        <w:spacing w:before="40" w:after="120" w:line="276" w:lineRule="auto"/>
        <w:ind w:left="1008"/>
      </w:pPr>
      <w:r>
        <w:rPr>
          <w:rFonts w:ascii="Arial" w:hAnsi="Arial" w:eastAsia="Arial" w:cs="Arial"/>
          <w:b w:val="0"/>
          <w:i w:val="0"/>
          <w:strike w:val="0"/>
          <w:color w:val="202124"/>
          <w:sz w:val="21"/>
        </w:rPr>
        <w:t>Compare the cash, bonus, and equity terms with your current package.</w:t>
      </w:r>
    </w:p>
    <w:p>
      <w:pPr>
        <w:pStyle w:val="ListBullet2"/>
        <w:spacing w:before="40" w:after="120" w:line="276" w:lineRule="auto"/>
        <w:ind w:left="1008"/>
      </w:pPr>
      <w:r>
        <w:rPr>
          <w:rFonts w:ascii="Arial" w:hAnsi="Arial" w:eastAsia="Arial" w:cs="Arial"/>
          <w:b w:val="0"/>
          <w:i w:val="0"/>
          <w:strike w:val="0"/>
          <w:color w:val="202124"/>
          <w:sz w:val="21"/>
        </w:rPr>
        <w:t>Verify hybrid-work expectations, equipment support, and travel guidance.</w:t>
      </w:r>
    </w:p>
    <w:p>
      <w:pPr>
        <w:pStyle w:val="ListNumber"/>
        <w:numPr>
          <w:ilvl w:val="0"/>
          <w:numId w:val="10"/>
        </w:numPr>
        <w:spacing w:before="120" w:after="120" w:line="276" w:lineRule="auto"/>
        <w:ind w:left="504"/>
      </w:pPr>
      <w:r>
        <w:rPr>
          <w:rFonts w:ascii="Arial" w:hAnsi="Arial" w:eastAsia="Arial" w:cs="Arial"/>
          <w:b w:val="0"/>
          <w:i w:val="0"/>
          <w:strike w:val="0"/>
          <w:color w:val="202124"/>
          <w:sz w:val="21"/>
        </w:rPr>
        <w:t>Sign and return the packet once the terms are clear.</w:t>
      </w:r>
    </w:p>
    <w:p>
      <w:pPr>
        <w:pStyle w:val="ListBullet2"/>
        <w:spacing w:before="40" w:after="120" w:line="276" w:lineRule="auto"/>
        <w:ind w:left="1008"/>
      </w:pPr>
      <w:r>
        <w:rPr>
          <w:rFonts w:ascii="Arial" w:hAnsi="Arial" w:eastAsia="Arial" w:cs="Arial"/>
          <w:b w:val="0"/>
          <w:i w:val="0"/>
          <w:strike w:val="0"/>
          <w:color w:val="202124"/>
          <w:sz w:val="21"/>
        </w:rPr>
        <w:t>A written confirmation email is optional, but it helps us schedule background checks and pre-hire setup.</w:t>
      </w:r>
    </w:p>
    <w:p>
      <w:pPr>
        <w:spacing w:before="440" w:after="160"/>
      </w:pPr>
      <w:r>
        <w:rPr>
          <w:rFonts w:ascii="Arial" w:hAnsi="Arial" w:eastAsia="Arial" w:cs="Arial"/>
          <w:b/>
          <w:i w:val="0"/>
          <w:strike w:val="0"/>
          <w:color w:val="174EA6"/>
          <w:sz w:val="21"/>
        </w:rPr>
        <w:t>Role Scope</w:t>
      </w:r>
    </w:p>
    <w:p>
      <w:pPr>
        <w:spacing w:before="0" w:after="120" w:line="276" w:lineRule="auto"/>
      </w:pPr>
      <w:r>
        <w:rPr>
          <w:rFonts w:ascii="Arial" w:hAnsi="Arial" w:eastAsia="Arial" w:cs="Arial"/>
          <w:b w:val="0"/>
          <w:i w:val="0"/>
          <w:strike w:val="0"/>
          <w:color w:val="202124"/>
          <w:sz w:val="21"/>
        </w:rPr>
        <w:t>This role is designed for an engineer who can translate ambiguity into durable systems, communicate clearly across partner teams, and raise the operating standard for services that are already at scale.</w:t>
      </w:r>
    </w:p>
    <w:p>
      <w:pPr>
        <w:pStyle w:val="ListBullet"/>
        <w:spacing w:before="40" w:after="120" w:line="276" w:lineRule="auto"/>
        <w:ind w:left="504"/>
      </w:pPr>
      <w:r>
        <w:rPr>
          <w:rFonts w:ascii="Arial" w:hAnsi="Arial" w:eastAsia="Arial" w:cs="Arial"/>
          <w:b w:val="0"/>
          <w:i w:val="0"/>
          <w:strike w:val="0"/>
          <w:color w:val="202124"/>
          <w:sz w:val="21"/>
        </w:rPr>
        <w:t>You will lead reliability and performance work for core storage and traffic systems.</w:t>
      </w:r>
    </w:p>
    <w:p>
      <w:pPr>
        <w:pStyle w:val="ListBullet"/>
        <w:spacing w:before="40" w:after="120" w:line="276" w:lineRule="auto"/>
        <w:ind w:left="504"/>
      </w:pPr>
      <w:r>
        <w:rPr>
          <w:rFonts w:ascii="Arial" w:hAnsi="Arial" w:eastAsia="Arial" w:cs="Arial"/>
          <w:b w:val="0"/>
          <w:i w:val="0"/>
          <w:strike w:val="0"/>
          <w:color w:val="202124"/>
          <w:sz w:val="21"/>
        </w:rPr>
        <w:t>You will partner closely with:</w:t>
      </w:r>
    </w:p>
    <w:p>
      <w:pPr>
        <w:pStyle w:val="ListBullet2"/>
        <w:spacing w:before="40" w:after="120" w:line="276" w:lineRule="auto"/>
        <w:ind w:left="1008"/>
      </w:pPr>
      <w:r>
        <w:rPr>
          <w:rFonts w:ascii="Arial" w:hAnsi="Arial" w:eastAsia="Arial" w:cs="Arial"/>
          <w:b w:val="0"/>
          <w:i w:val="0"/>
          <w:strike w:val="0"/>
          <w:color w:val="202124"/>
          <w:sz w:val="21"/>
        </w:rPr>
        <w:t>site reliability engineering on incident review follow-through</w:t>
      </w:r>
    </w:p>
    <w:p>
      <w:pPr>
        <w:pStyle w:val="ListBullet2"/>
        <w:spacing w:before="40" w:after="120" w:line="276" w:lineRule="auto"/>
        <w:ind w:left="1008"/>
      </w:pPr>
      <w:r>
        <w:rPr>
          <w:rFonts w:ascii="Arial" w:hAnsi="Arial" w:eastAsia="Arial" w:cs="Arial"/>
          <w:b w:val="0"/>
          <w:i w:val="0"/>
          <w:strike w:val="0"/>
          <w:color w:val="202124"/>
          <w:sz w:val="21"/>
        </w:rPr>
        <w:t>capacity planning on quarterly demand modeling</w:t>
      </w:r>
    </w:p>
    <w:p>
      <w:pPr>
        <w:pStyle w:val="ListBullet2"/>
        <w:spacing w:before="40" w:after="120" w:line="276" w:lineRule="auto"/>
        <w:ind w:left="1008"/>
      </w:pPr>
      <w:r>
        <w:rPr>
          <w:rFonts w:ascii="Arial" w:hAnsi="Arial" w:eastAsia="Arial" w:cs="Arial"/>
          <w:b w:val="0"/>
          <w:i w:val="0"/>
          <w:strike w:val="0"/>
          <w:color w:val="202124"/>
          <w:sz w:val="21"/>
        </w:rPr>
        <w:t>security engineering on production guardrails and audit readiness</w:t>
      </w:r>
    </w:p>
    <w:p>
      <w:pPr>
        <w:pStyle w:val="ListBullet"/>
        <w:spacing w:before="40" w:after="120" w:line="276" w:lineRule="auto"/>
        <w:ind w:left="504"/>
      </w:pPr>
      <w:r>
        <w:rPr>
          <w:rFonts w:ascii="Arial" w:hAnsi="Arial" w:eastAsia="Arial" w:cs="Arial"/>
          <w:b w:val="0"/>
          <w:i w:val="0"/>
          <w:strike w:val="0"/>
          <w:color w:val="202124"/>
          <w:sz w:val="21"/>
        </w:rPr>
        <w:t>You will mentor early-career engineers and help drive calm, well-documented launches.</w:t>
      </w:r>
    </w:p>
    <w:p>
      <w:pPr>
        <w:spacing w:before="440" w:after="160"/>
      </w:pPr>
      <w:r>
        <w:rPr>
          <w:rFonts w:ascii="Arial" w:hAnsi="Arial" w:eastAsia="Arial" w:cs="Arial"/>
          <w:b/>
          <w:i w:val="0"/>
          <w:strike w:val="0"/>
          <w:color w:val="174EA6"/>
          <w:sz w:val="21"/>
        </w:rPr>
        <w:t>Compensation</w:t>
      </w:r>
    </w:p>
    <w:p>
      <w:pPr>
        <w:spacing w:before="0" w:after="120" w:line="276" w:lineRule="auto"/>
      </w:pPr>
      <w:r>
        <w:rPr>
          <w:rFonts w:ascii="Arial" w:hAnsi="Arial" w:eastAsia="Arial" w:cs="Arial"/>
          <w:b w:val="0"/>
          <w:i w:val="0"/>
          <w:strike w:val="0"/>
          <w:color w:val="202124"/>
          <w:sz w:val="21"/>
        </w:rPr>
      </w:r>
      <w:r>
        <w:rPr>
          <w:rFonts w:ascii="Arial" w:hAnsi="Arial" w:eastAsia="Arial" w:cs="Arial"/>
          <w:b/>
          <w:i w:val="0"/>
          <w:strike w:val="0"/>
          <w:color w:val="202124"/>
          <w:sz w:val="21"/>
        </w:rPr>
        <w:t>Compensation.</w:t>
      </w:r>
      <w:r>
        <w:rPr>
          <w:rFonts w:ascii="Arial" w:hAnsi="Arial" w:eastAsia="Arial" w:cs="Arial"/>
          <w:b w:val="0"/>
          <w:i w:val="0"/>
          <w:strike w:val="0"/>
          <w:color w:val="202124"/>
          <w:sz w:val="21"/>
        </w:rPr>
        <w:t xml:space="preserve"> Your total compensation package is outlined in the table below.</w:t>
      </w:r>
    </w:p>
    <w:p>
      <w:pPr>
        <w:spacing w:before="0" w:after="160" w:line="20" w:lineRule="exact"/>
      </w:pPr>
    </w:p>
    <w:tbl>
      <w:tblPr>
        <w:jc w:val="center"/>
        <w:tblLook w:firstColumn="1" w:firstRow="1" w:lastColumn="0" w:lastRow="0" w:noHBand="0" w:noVBand="1" w:val="04A0"/>
        <w:tblLayout w:type="fixed"/>
        <w:tblW w:w="9360" w:type="dxa"/>
        <w:tblBorders>
          <w:top w:val="single" w:sz="4" w:space="0" w:color="D1D5DB"/>
          <w:left w:val="single" w:sz="4" w:space="0" w:color="D1D5DB"/>
          <w:bottom w:val="single" w:sz="4" w:space="0" w:color="D1D5DB"/>
          <w:right w:val="single" w:sz="4" w:space="0" w:color="D1D5DB"/>
          <w:insideH w:val="single" w:sz="4" w:space="0" w:color="D1D5DB"/>
          <w:insideV w:val="single" w:sz="4" w:space="0" w:color="D1D5DB"/>
        </w:tblBorders>
        <w:tblCellMar>
          <w:top w:w="40" w:type="dxa"/>
          <w:left w:w="80" w:type="dxa"/>
          <w:bottom w:w="40" w:type="dxa"/>
          <w:right w:w="80" w:type="dxa"/>
        </w:tblCellMar>
      </w:tblPr>
      <w:tblGrid>
        <w:gridCol w:w="2340"/>
        <w:gridCol w:w="7020"/>
      </w:tblGrid>
      <w:tr>
        <w:tc>
          <w:tcPr>
            <w:tcW w:w="2340" w:type="dxa"/>
            <w:vAlign w:val="center"/>
            <w:shd w:fill="F8FAFD" w:val="clear"/>
          </w:tcPr>
          <w:p>
            <w:pPr>
              <w:spacing w:before="60" w:after="60"/>
              <w:jc w:val="left"/>
            </w:pPr>
            <w:r>
              <w:rPr>
                <w:rFonts w:ascii="Arial" w:hAnsi="Arial" w:eastAsia="Arial" w:cs="Arial"/>
                <w:b/>
                <w:i w:val="0"/>
                <w:strike w:val="0"/>
                <w:color w:val="202124"/>
                <w:sz w:val="21"/>
              </w:rPr>
              <w:t>Component</w:t>
            </w:r>
          </w:p>
        </w:tc>
        <w:tc>
          <w:tcPr>
            <w:tcW w:w="7020" w:type="dxa"/>
            <w:vAlign w:val="center"/>
            <w:shd w:fill="F8FAFD" w:val="clear"/>
          </w:tcPr>
          <w:p>
            <w:pPr>
              <w:spacing w:before="60" w:after="60"/>
              <w:jc w:val="left"/>
            </w:pPr>
            <w:r>
              <w:rPr>
                <w:rFonts w:ascii="Arial" w:hAnsi="Arial" w:eastAsia="Arial" w:cs="Arial"/>
                <w:b/>
                <w:i w:val="0"/>
                <w:strike w:val="0"/>
                <w:color w:val="202124"/>
                <w:sz w:val="21"/>
              </w:rPr>
              <w:t>Details</w:t>
            </w:r>
          </w:p>
        </w:tc>
      </w:tr>
      <w:tr>
        <w:tc>
          <w:tcPr>
            <w:tcW w:w="2340" w:type="dxa"/>
            <w:vAlign w:val="center"/>
          </w:tcPr>
          <w:p>
            <w:pPr>
              <w:spacing w:before="40" w:after="40"/>
              <w:jc w:val="left"/>
            </w:pPr>
            <w:r>
              <w:rPr>
                <w:rFonts w:ascii="Arial" w:hAnsi="Arial" w:eastAsia="Arial" w:cs="Arial"/>
                <w:b w:val="0"/>
                <w:i w:val="0"/>
                <w:strike w:val="0"/>
                <w:color w:val="202124"/>
                <w:sz w:val="21"/>
              </w:rPr>
            </w:r>
            <w:r>
              <w:rPr>
                <w:rFonts w:ascii="Arial" w:hAnsi="Arial" w:eastAsia="Arial" w:cs="Arial"/>
                <w:b/>
                <w:i w:val="0"/>
                <w:strike w:val="0"/>
                <w:color w:val="202124"/>
                <w:sz w:val="21"/>
              </w:rPr>
              <w:t>Base Salary</w:t>
            </w:r>
            <w:r>
              <w:rPr>
                <w:rFonts w:ascii="Arial" w:hAnsi="Arial" w:eastAsia="Arial" w:cs="Arial"/>
                <w:b w:val="0"/>
                <w:i w:val="0"/>
                <w:strike w:val="0"/>
                <w:color w:val="202124"/>
                <w:sz w:val="21"/>
              </w:rPr>
            </w:r>
          </w:p>
        </w:tc>
        <w:tc>
          <w:tcPr>
            <w:tcW w:w="7020" w:type="dxa"/>
            <w:vAlign w:val="center"/>
          </w:tcPr>
          <w:p>
            <w:pPr>
              <w:spacing w:before="40" w:after="40"/>
              <w:jc w:val="left"/>
            </w:pPr>
            <w:r>
              <w:rPr>
                <w:rFonts w:ascii="Arial" w:hAnsi="Arial" w:eastAsia="Arial" w:cs="Arial"/>
                <w:b w:val="0"/>
                <w:i w:val="0"/>
                <w:strike w:val="0"/>
                <w:color w:val="202124"/>
                <w:sz w:val="21"/>
              </w:rPr>
              <w:t>$218,000 per year, paid semi-monthly</w:t>
            </w:r>
          </w:p>
        </w:tc>
      </w:tr>
      <w:tr>
        <w:tc>
          <w:tcPr>
            <w:tcW w:w="2340" w:type="dxa"/>
            <w:vAlign w:val="center"/>
          </w:tcPr>
          <w:p>
            <w:pPr>
              <w:spacing w:before="40" w:after="40"/>
              <w:jc w:val="left"/>
            </w:pPr>
            <w:r>
              <w:rPr>
                <w:rFonts w:ascii="Arial" w:hAnsi="Arial" w:eastAsia="Arial" w:cs="Arial"/>
                <w:b w:val="0"/>
                <w:i w:val="0"/>
                <w:strike w:val="0"/>
                <w:color w:val="202124"/>
                <w:sz w:val="21"/>
              </w:rPr>
            </w:r>
            <w:r>
              <w:rPr>
                <w:rFonts w:ascii="Arial" w:hAnsi="Arial" w:eastAsia="Arial" w:cs="Arial"/>
                <w:b/>
                <w:i w:val="0"/>
                <w:strike w:val="0"/>
                <w:color w:val="202124"/>
                <w:sz w:val="21"/>
              </w:rPr>
              <w:t>Target Bonus</w:t>
            </w:r>
            <w:r>
              <w:rPr>
                <w:rFonts w:ascii="Arial" w:hAnsi="Arial" w:eastAsia="Arial" w:cs="Arial"/>
                <w:b w:val="0"/>
                <w:i w:val="0"/>
                <w:strike w:val="0"/>
                <w:color w:val="202124"/>
                <w:sz w:val="21"/>
              </w:rPr>
            </w:r>
          </w:p>
        </w:tc>
        <w:tc>
          <w:tcPr>
            <w:tcW w:w="7020" w:type="dxa"/>
            <w:vAlign w:val="center"/>
          </w:tcPr>
          <w:p>
            <w:pPr>
              <w:spacing w:before="40" w:after="40"/>
              <w:jc w:val="left"/>
            </w:pPr>
            <w:r>
              <w:rPr>
                <w:rFonts w:ascii="Arial" w:hAnsi="Arial" w:eastAsia="Arial" w:cs="Arial"/>
                <w:b w:val="0"/>
                <w:i w:val="0"/>
                <w:strike w:val="0"/>
                <w:color w:val="202124"/>
                <w:sz w:val="21"/>
              </w:rPr>
              <w:t>15% of base salary, based on individual and company performance</w:t>
            </w:r>
          </w:p>
        </w:tc>
      </w:tr>
      <w:tr>
        <w:tc>
          <w:tcPr>
            <w:tcW w:w="2340" w:type="dxa"/>
            <w:vAlign w:val="center"/>
          </w:tcPr>
          <w:p>
            <w:pPr>
              <w:spacing w:before="40" w:after="40"/>
              <w:jc w:val="left"/>
            </w:pPr>
            <w:r>
              <w:rPr>
                <w:rFonts w:ascii="Arial" w:hAnsi="Arial" w:eastAsia="Arial" w:cs="Arial"/>
                <w:b w:val="0"/>
                <w:i w:val="0"/>
                <w:strike w:val="0"/>
                <w:color w:val="202124"/>
                <w:sz w:val="21"/>
              </w:rPr>
            </w:r>
            <w:r>
              <w:rPr>
                <w:rFonts w:ascii="Arial" w:hAnsi="Arial" w:eastAsia="Arial" w:cs="Arial"/>
                <w:b/>
                <w:i w:val="0"/>
                <w:strike w:val="0"/>
                <w:color w:val="202124"/>
                <w:sz w:val="21"/>
              </w:rPr>
              <w:t>Equity (RSUs)</w:t>
            </w:r>
            <w:r>
              <w:rPr>
                <w:rFonts w:ascii="Arial" w:hAnsi="Arial" w:eastAsia="Arial" w:cs="Arial"/>
                <w:b w:val="0"/>
                <w:i w:val="0"/>
                <w:strike w:val="0"/>
                <w:color w:val="202124"/>
                <w:sz w:val="21"/>
              </w:rPr>
            </w:r>
          </w:p>
        </w:tc>
        <w:tc>
          <w:tcPr>
            <w:tcW w:w="7020" w:type="dxa"/>
            <w:vAlign w:val="center"/>
          </w:tcPr>
          <w:p>
            <w:pPr>
              <w:spacing w:before="40" w:after="40"/>
              <w:jc w:val="left"/>
            </w:pPr>
            <w:r>
              <w:rPr>
                <w:rFonts w:ascii="Arial" w:hAnsi="Arial" w:eastAsia="Arial" w:cs="Arial"/>
                <w:b w:val="0"/>
                <w:i w:val="0"/>
                <w:strike w:val="0"/>
                <w:color w:val="202124"/>
                <w:sz w:val="21"/>
              </w:rPr>
              <w:t>1,400 shares vesting over 4 years (33% / 33% / 22% / 12%)</w:t>
            </w:r>
          </w:p>
        </w:tc>
      </w:tr>
      <w:tr>
        <w:tc>
          <w:tcPr>
            <w:tcW w:w="2340" w:type="dxa"/>
            <w:vAlign w:val="center"/>
          </w:tcPr>
          <w:p>
            <w:pPr>
              <w:spacing w:before="40" w:after="40"/>
              <w:jc w:val="left"/>
            </w:pPr>
            <w:r>
              <w:rPr>
                <w:rFonts w:ascii="Arial" w:hAnsi="Arial" w:eastAsia="Arial" w:cs="Arial"/>
                <w:b w:val="0"/>
                <w:i w:val="0"/>
                <w:strike w:val="0"/>
                <w:color w:val="202124"/>
                <w:sz w:val="21"/>
              </w:rPr>
            </w:r>
            <w:r>
              <w:rPr>
                <w:rFonts w:ascii="Arial" w:hAnsi="Arial" w:eastAsia="Arial" w:cs="Arial"/>
                <w:b/>
                <w:i w:val="0"/>
                <w:strike w:val="0"/>
                <w:color w:val="202124"/>
                <w:sz w:val="21"/>
              </w:rPr>
              <w:t>Signing Bonus</w:t>
            </w:r>
            <w:r>
              <w:rPr>
                <w:rFonts w:ascii="Arial" w:hAnsi="Arial" w:eastAsia="Arial" w:cs="Arial"/>
                <w:b w:val="0"/>
                <w:i w:val="0"/>
                <w:strike w:val="0"/>
                <w:color w:val="202124"/>
                <w:sz w:val="21"/>
              </w:rPr>
            </w:r>
          </w:p>
        </w:tc>
        <w:tc>
          <w:tcPr>
            <w:tcW w:w="7020" w:type="dxa"/>
            <w:vAlign w:val="center"/>
          </w:tcPr>
          <w:p>
            <w:pPr>
              <w:spacing w:before="40" w:after="40"/>
              <w:jc w:val="left"/>
            </w:pPr>
            <w:r>
              <w:rPr>
                <w:rFonts w:ascii="Arial" w:hAnsi="Arial" w:eastAsia="Arial" w:cs="Arial"/>
                <w:b w:val="0"/>
                <w:i w:val="0"/>
                <w:strike w:val="0"/>
                <w:color w:val="202124"/>
                <w:sz w:val="21"/>
              </w:rPr>
              <w:t>$45,000, paid with your first paycheck</w:t>
            </w:r>
          </w:p>
        </w:tc>
      </w:tr>
    </w:tbl>
    <w:p>
      <w:pPr>
        <w:spacing w:before="0" w:after="240" w:line="20" w:lineRule="exact"/>
      </w:pPr>
    </w:p>
    <w:p>
      <w:pPr>
        <w:spacing w:before="440" w:after="160"/>
      </w:pPr>
      <w:r>
        <w:rPr>
          <w:rFonts w:ascii="Arial" w:hAnsi="Arial" w:eastAsia="Arial" w:cs="Arial"/>
          <w:b/>
          <w:i w:val="0"/>
          <w:strike w:val="0"/>
          <w:color w:val="174EA6"/>
          <w:sz w:val="21"/>
        </w:rPr>
        <w:t>Work Model And Support</w:t>
      </w:r>
    </w:p>
    <w:p>
      <w:pPr>
        <w:spacing w:before="0" w:after="160" w:line="20" w:lineRule="exact"/>
      </w:pPr>
    </w:p>
    <w:tbl>
      <w:tblPr>
        <w:jc w:val="center"/>
        <w:tblLook w:firstColumn="1" w:firstRow="1" w:lastColumn="0" w:lastRow="0" w:noHBand="0" w:noVBand="1" w:val="04A0"/>
        <w:tblLayout w:type="fixed"/>
        <w:tblW w:w="9360" w:type="dxa"/>
        <w:tblBorders>
          <w:top w:val="single" w:sz="4" w:space="0" w:color="D1D5DB"/>
          <w:left w:val="single" w:sz="4" w:space="0" w:color="D1D5DB"/>
          <w:bottom w:val="single" w:sz="4" w:space="0" w:color="D1D5DB"/>
          <w:right w:val="single" w:sz="4" w:space="0" w:color="D1D5DB"/>
          <w:insideH w:val="single" w:sz="4" w:space="0" w:color="D1D5DB"/>
          <w:insideV w:val="single" w:sz="4" w:space="0" w:color="D1D5DB"/>
        </w:tblBorders>
        <w:tblCellMar>
          <w:top w:w="40" w:type="dxa"/>
          <w:left w:w="80" w:type="dxa"/>
          <w:bottom w:w="40" w:type="dxa"/>
          <w:right w:w="80" w:type="dxa"/>
        </w:tblCellMar>
      </w:tblPr>
      <w:tblGrid>
        <w:gridCol w:w="1872"/>
        <w:gridCol w:w="1872"/>
        <w:gridCol w:w="5616"/>
      </w:tblGrid>
      <w:tr>
        <w:tc>
          <w:tcPr>
            <w:tcW w:w="1872" w:type="dxa"/>
            <w:vAlign w:val="center"/>
            <w:shd w:fill="E8F0FE" w:val="clear"/>
          </w:tcPr>
          <w:p>
            <w:pPr>
              <w:spacing w:before="60" w:after="60"/>
              <w:jc w:val="left"/>
            </w:pPr>
            <w:r>
              <w:rPr>
                <w:rFonts w:ascii="Arial" w:hAnsi="Arial" w:eastAsia="Arial" w:cs="Arial"/>
                <w:b/>
                <w:i w:val="0"/>
                <w:strike w:val="0"/>
                <w:color w:val="202124"/>
                <w:sz w:val="21"/>
              </w:rPr>
              <w:t>Topic</w:t>
            </w:r>
          </w:p>
        </w:tc>
        <w:tc>
          <w:tcPr>
            <w:tcW w:w="1872" w:type="dxa"/>
            <w:vAlign w:val="center"/>
            <w:shd w:fill="E8F0FE" w:val="clear"/>
          </w:tcPr>
          <w:p>
            <w:pPr>
              <w:spacing w:before="60" w:after="60"/>
              <w:jc w:val="center"/>
            </w:pPr>
            <w:r>
              <w:rPr>
                <w:rFonts w:ascii="Arial" w:hAnsi="Arial" w:eastAsia="Arial" w:cs="Arial"/>
                <w:b/>
                <w:i w:val="0"/>
                <w:strike w:val="0"/>
                <w:color w:val="202124"/>
                <w:sz w:val="21"/>
              </w:rPr>
              <w:t>Default</w:t>
            </w:r>
          </w:p>
        </w:tc>
        <w:tc>
          <w:tcPr>
            <w:tcW w:w="5616" w:type="dxa"/>
            <w:vAlign w:val="center"/>
            <w:shd w:fill="E8F0FE" w:val="clear"/>
          </w:tcPr>
          <w:p>
            <w:pPr>
              <w:spacing w:before="60" w:after="60"/>
              <w:jc w:val="left"/>
            </w:pPr>
            <w:r>
              <w:rPr>
                <w:rFonts w:ascii="Arial" w:hAnsi="Arial" w:eastAsia="Arial" w:cs="Arial"/>
                <w:b/>
                <w:i w:val="0"/>
                <w:strike w:val="0"/>
                <w:color w:val="202124"/>
                <w:sz w:val="21"/>
              </w:rPr>
              <w:t>Notes</w:t>
            </w:r>
          </w:p>
        </w:tc>
      </w:tr>
      <w:tr>
        <w:tc>
          <w:tcPr>
            <w:tcW w:w="1872" w:type="dxa"/>
            <w:vAlign w:val="center"/>
          </w:tcPr>
          <w:p>
            <w:pPr>
              <w:spacing w:before="40" w:after="40"/>
              <w:jc w:val="left"/>
            </w:pPr>
            <w:r>
              <w:rPr>
                <w:rFonts w:ascii="Arial" w:hAnsi="Arial" w:eastAsia="Arial" w:cs="Arial"/>
                <w:b w:val="0"/>
                <w:i w:val="0"/>
                <w:strike w:val="0"/>
                <w:color w:val="202124"/>
                <w:sz w:val="21"/>
              </w:rPr>
              <w:t>Hybrid schedule</w:t>
            </w:r>
          </w:p>
        </w:tc>
        <w:tc>
          <w:tcPr>
            <w:tcW w:w="1872" w:type="dxa"/>
            <w:vAlign w:val="center"/>
          </w:tcPr>
          <w:p>
            <w:pPr>
              <w:spacing w:before="40" w:after="40"/>
              <w:jc w:val="center"/>
            </w:pPr>
            <w:r>
              <w:rPr>
                <w:rFonts w:ascii="Arial" w:hAnsi="Arial" w:eastAsia="Arial" w:cs="Arial"/>
                <w:b w:val="0"/>
                <w:i w:val="0"/>
                <w:strike w:val="0"/>
                <w:color w:val="202124"/>
                <w:sz w:val="21"/>
              </w:rPr>
              <w:t>3 office days</w:t>
            </w:r>
          </w:p>
        </w:tc>
        <w:tc>
          <w:tcPr>
            <w:tcW w:w="5616" w:type="dxa"/>
            <w:vAlign w:val="center"/>
          </w:tcPr>
          <w:p>
            <w:pPr>
              <w:spacing w:before="40" w:after="40"/>
              <w:jc w:val="left"/>
            </w:pPr>
            <w:r>
              <w:rPr>
                <w:rFonts w:ascii="Arial" w:hAnsi="Arial" w:eastAsia="Arial" w:cs="Arial"/>
                <w:b w:val="0"/>
                <w:i w:val="0"/>
                <w:strike w:val="0"/>
                <w:color w:val="202124"/>
                <w:sz w:val="21"/>
              </w:rPr>
              <w:t>Tuesdays through Thursdays are team anchor days for Cloud Infrastructure</w:t>
            </w:r>
          </w:p>
        </w:tc>
      </w:tr>
      <w:tr>
        <w:tc>
          <w:tcPr>
            <w:tcW w:w="1872" w:type="dxa"/>
            <w:vAlign w:val="center"/>
            <w:shd w:fill="F8FBFF" w:val="clear"/>
          </w:tcPr>
          <w:p>
            <w:pPr>
              <w:spacing w:before="40" w:after="40"/>
              <w:jc w:val="left"/>
            </w:pPr>
            <w:r>
              <w:rPr>
                <w:rFonts w:ascii="Arial" w:hAnsi="Arial" w:eastAsia="Arial" w:cs="Arial"/>
                <w:b w:val="0"/>
                <w:i w:val="0"/>
                <w:strike w:val="0"/>
                <w:color w:val="202124"/>
                <w:sz w:val="21"/>
              </w:rPr>
              <w:t>Equipment</w:t>
            </w:r>
          </w:p>
        </w:tc>
        <w:tc>
          <w:tcPr>
            <w:tcW w:w="1872" w:type="dxa"/>
            <w:vAlign w:val="center"/>
            <w:shd w:fill="F8FBFF" w:val="clear"/>
          </w:tcPr>
          <w:p>
            <w:pPr>
              <w:spacing w:before="40" w:after="40"/>
              <w:jc w:val="center"/>
            </w:pPr>
            <w:r>
              <w:rPr>
                <w:rFonts w:ascii="Arial" w:hAnsi="Arial" w:eastAsia="Arial" w:cs="Arial"/>
                <w:b w:val="0"/>
                <w:i w:val="0"/>
                <w:strike w:val="0"/>
                <w:color w:val="202124"/>
                <w:sz w:val="21"/>
              </w:rPr>
              <w:t>Standard package</w:t>
            </w:r>
          </w:p>
        </w:tc>
        <w:tc>
          <w:tcPr>
            <w:tcW w:w="5616" w:type="dxa"/>
            <w:vAlign w:val="center"/>
            <w:shd w:fill="F8FBFF" w:val="clear"/>
          </w:tcPr>
          <w:p>
            <w:pPr>
              <w:spacing w:before="40" w:after="40"/>
              <w:jc w:val="left"/>
            </w:pPr>
            <w:r>
              <w:rPr>
                <w:rFonts w:ascii="Arial" w:hAnsi="Arial" w:eastAsia="Arial" w:cs="Arial"/>
                <w:b w:val="0"/>
                <w:i w:val="0"/>
                <w:strike w:val="0"/>
                <w:color w:val="202124"/>
                <w:sz w:val="21"/>
              </w:rPr>
              <w:t>Laptop, monitor stipend, and secure device enrollment begin before day one</w:t>
            </w:r>
          </w:p>
        </w:tc>
      </w:tr>
      <w:tr>
        <w:tc>
          <w:tcPr>
            <w:tcW w:w="1872" w:type="dxa"/>
            <w:vAlign w:val="center"/>
          </w:tcPr>
          <w:p>
            <w:pPr>
              <w:spacing w:before="40" w:after="40"/>
              <w:jc w:val="left"/>
            </w:pPr>
            <w:r>
              <w:rPr>
                <w:rFonts w:ascii="Arial" w:hAnsi="Arial" w:eastAsia="Arial" w:cs="Arial"/>
                <w:b w:val="0"/>
                <w:i w:val="0"/>
                <w:strike w:val="0"/>
                <w:color w:val="202124"/>
                <w:sz w:val="21"/>
              </w:rPr>
              <w:t>Travel</w:t>
            </w:r>
          </w:p>
        </w:tc>
        <w:tc>
          <w:tcPr>
            <w:tcW w:w="1872" w:type="dxa"/>
            <w:vAlign w:val="center"/>
          </w:tcPr>
          <w:p>
            <w:pPr>
              <w:spacing w:before="40" w:after="40"/>
              <w:jc w:val="center"/>
            </w:pPr>
            <w:r>
              <w:rPr>
                <w:rFonts w:ascii="Arial" w:hAnsi="Arial" w:eastAsia="Arial" w:cs="Arial"/>
                <w:b w:val="0"/>
                <w:i w:val="0"/>
                <w:strike w:val="0"/>
                <w:color w:val="202124"/>
                <w:sz w:val="21"/>
              </w:rPr>
              <w:t>Pre-approved</w:t>
            </w:r>
          </w:p>
        </w:tc>
        <w:tc>
          <w:tcPr>
            <w:tcW w:w="5616" w:type="dxa"/>
            <w:vAlign w:val="center"/>
          </w:tcPr>
          <w:p>
            <w:pPr>
              <w:spacing w:before="40" w:after="40"/>
              <w:jc w:val="left"/>
            </w:pPr>
            <w:r>
              <w:rPr>
                <w:rFonts w:ascii="Arial" w:hAnsi="Arial" w:eastAsia="Arial" w:cs="Arial"/>
                <w:b w:val="0"/>
                <w:i w:val="0"/>
                <w:strike w:val="0"/>
                <w:color w:val="202124"/>
                <w:sz w:val="21"/>
              </w:rPr>
              <w:t>Interview, relocation, and first-week travel are reimbursed through the recruiting coordinator</w:t>
            </w:r>
          </w:p>
        </w:tc>
      </w:tr>
    </w:tbl>
    <w:p>
      <w:pPr>
        <w:spacing w:before="0" w:after="240" w:line="20" w:lineRule="exact"/>
      </w:pPr>
    </w:p>
    <w:p>
      <w:pPr>
        <w:spacing w:before="440" w:after="160"/>
      </w:pPr>
      <w:r>
        <w:rPr>
          <w:rFonts w:ascii="Arial" w:hAnsi="Arial" w:eastAsia="Arial" w:cs="Arial"/>
          <w:b/>
          <w:i w:val="0"/>
          <w:strike w:val="0"/>
          <w:color w:val="174EA6"/>
          <w:sz w:val="21"/>
        </w:rPr>
        <w:t>First 90 Days</w:t>
      </w:r>
    </w:p>
    <w:p>
      <w:pPr>
        <w:pStyle w:val="ListNumber"/>
        <w:numPr>
          <w:ilvl w:val="0"/>
          <w:numId w:val="11"/>
        </w:numPr>
        <w:spacing w:before="40" w:after="120" w:line="276" w:lineRule="auto"/>
        <w:ind w:left="504"/>
      </w:pPr>
      <w:r>
        <w:rPr>
          <w:rFonts w:ascii="Arial" w:hAnsi="Arial" w:eastAsia="Arial" w:cs="Arial"/>
          <w:b w:val="0"/>
          <w:i w:val="0"/>
          <w:strike w:val="0"/>
          <w:color w:val="202124"/>
          <w:sz w:val="21"/>
        </w:rPr>
        <w:t>Complete onboarding and establish your operating context.</w:t>
      </w:r>
    </w:p>
    <w:p>
      <w:pPr>
        <w:pStyle w:val="ListBullet2"/>
        <w:spacing w:before="40" w:after="120" w:line="276" w:lineRule="auto"/>
        <w:ind w:left="1008"/>
      </w:pPr>
      <w:r>
        <w:rPr>
          <w:rFonts w:ascii="Arial" w:hAnsi="Arial" w:eastAsia="Arial" w:cs="Arial"/>
          <w:b w:val="0"/>
          <w:i w:val="0"/>
          <w:strike w:val="0"/>
          <w:color w:val="202124"/>
          <w:sz w:val="21"/>
        </w:rPr>
        <w:t>Review service ownership maps, on-call expectations, and escalation paths.</w:t>
      </w:r>
    </w:p>
    <w:p>
      <w:pPr>
        <w:pStyle w:val="ListBullet2"/>
        <w:spacing w:before="40" w:after="120" w:line="276" w:lineRule="auto"/>
        <w:ind w:left="1008"/>
      </w:pPr>
      <w:r>
        <w:rPr>
          <w:rFonts w:ascii="Arial" w:hAnsi="Arial" w:eastAsia="Arial" w:cs="Arial"/>
          <w:b w:val="0"/>
          <w:i w:val="0"/>
          <w:strike w:val="0"/>
          <w:color w:val="202124"/>
          <w:sz w:val="21"/>
        </w:rPr>
        <w:t>Meet your cross-functional partners in networking, storage, and developer productivity.</w:t>
      </w:r>
    </w:p>
    <w:p>
      <w:pPr>
        <w:pStyle w:val="ListNumber"/>
        <w:numPr>
          <w:ilvl w:val="0"/>
          <w:numId w:val="11"/>
        </w:numPr>
        <w:spacing w:before="40" w:after="120" w:line="276" w:lineRule="auto"/>
        <w:ind w:left="504"/>
      </w:pPr>
      <w:r>
        <w:rPr>
          <w:rFonts w:ascii="Arial" w:hAnsi="Arial" w:eastAsia="Arial" w:cs="Arial"/>
          <w:b w:val="0"/>
          <w:i w:val="0"/>
          <w:strike w:val="0"/>
          <w:color w:val="202124"/>
          <w:sz w:val="21"/>
        </w:rPr>
        <w:t>Land one scoped reliability improvement that reduces alert noise or manual toil.</w:t>
      </w:r>
    </w:p>
    <w:p>
      <w:pPr>
        <w:pStyle w:val="ListNumber"/>
        <w:numPr>
          <w:ilvl w:val="0"/>
          <w:numId w:val="11"/>
        </w:numPr>
        <w:spacing w:before="40" w:after="120" w:line="276" w:lineRule="auto"/>
        <w:ind w:left="504"/>
      </w:pPr>
      <w:r>
        <w:rPr>
          <w:rFonts w:ascii="Arial" w:hAnsi="Arial" w:eastAsia="Arial" w:cs="Arial"/>
          <w:b w:val="0"/>
          <w:i w:val="0"/>
          <w:strike w:val="0"/>
          <w:color w:val="202124"/>
          <w:sz w:val="21"/>
        </w:rPr>
        <w:t>Present a written quarter plan with success metrics, open risks, and staffing assumptions.</w:t>
      </w:r>
    </w:p>
    <w:p>
      <w:pPr>
        <w:spacing w:before="320" w:after="120"/>
      </w:pPr>
      <w:r>
        <w:rPr>
          <w:rFonts w:ascii="Arial" w:hAnsi="Arial" w:eastAsia="Arial" w:cs="Arial"/>
          <w:b/>
          <w:i w:val="0"/>
          <w:strike w:val="0"/>
          <w:color w:val="174EA6"/>
          <w:sz w:val="21"/>
        </w:rPr>
        <w:t>Working Norms</w:t>
      </w:r>
    </w:p>
    <w:p>
      <w:pPr>
        <w:spacing w:before="160" w:after="160"/>
        <w:ind w:left="432"/>
        <w:pBdr>
          <w:left w:val="single" w:sz="12" w:space="8" w:color="AECBFA"/>
        </w:pBdr>
      </w:pPr>
      <w:r>
        <w:rPr>
          <w:rFonts w:ascii="Arial" w:hAnsi="Arial" w:eastAsia="Arial" w:cs="Arial"/>
          <w:b w:val="0"/>
          <w:i/>
          <w:strike w:val="0"/>
          <w:color w:val="5F6368"/>
          <w:sz w:val="21"/>
        </w:rPr>
        <w:t>We optimize for predictable systems, clear ownership, and calm operations during both launches and incidents.</w:t>
      </w:r>
    </w:p>
    <w:p>
      <w:pPr>
        <w:spacing w:before="240" w:after="80"/>
      </w:pPr>
      <w:r>
        <w:rPr>
          <w:rFonts w:ascii="Arial" w:hAnsi="Arial" w:eastAsia="Arial" w:cs="Arial"/>
          <w:b/>
          <w:i w:val="0"/>
          <w:strike w:val="0"/>
          <w:color w:val="174EA6"/>
          <w:sz w:val="21"/>
        </w:rPr>
        <w:t>Team Operating Signals</w:t>
      </w:r>
    </w:p>
    <w:p>
      <w:pPr>
        <w:pStyle w:val="ListBullet"/>
        <w:spacing w:before="40" w:after="120" w:line="276" w:lineRule="auto"/>
        <w:ind w:left="504"/>
      </w:pPr>
      <w:r>
        <w:rPr>
          <w:rFonts w:ascii="Arial" w:hAnsi="Arial" w:eastAsia="Arial" w:cs="Arial"/>
          <w:b w:val="0"/>
          <w:i w:val="0"/>
          <w:strike w:val="0"/>
          <w:color w:val="202124"/>
          <w:sz w:val="21"/>
        </w:rPr>
        <w:t>Service changes should land with a written rollback plan.</w:t>
      </w:r>
    </w:p>
    <w:p>
      <w:pPr>
        <w:pStyle w:val="ListBullet"/>
        <w:spacing w:before="40" w:after="120" w:line="276" w:lineRule="auto"/>
        <w:ind w:left="504"/>
      </w:pPr>
      <w:r>
        <w:rPr>
          <w:rFonts w:ascii="Arial" w:hAnsi="Arial" w:eastAsia="Arial" w:cs="Arial"/>
          <w:b w:val="0"/>
          <w:i w:val="0"/>
          <w:strike w:val="0"/>
          <w:color w:val="202124"/>
          <w:sz w:val="21"/>
        </w:rPr>
        <w:t xml:space="preserve">Quarterly plans should distinguish must-ship work from </w:t>
      </w:r>
      <w:r>
        <w:rPr>
          <w:rFonts w:ascii="Arial" w:hAnsi="Arial" w:eastAsia="Arial" w:cs="Arial"/>
          <w:b w:val="0"/>
          <w:i w:val="0"/>
          <w:strike/>
          <w:color w:val="202124"/>
          <w:sz w:val="21"/>
        </w:rPr>
        <w:t>nice-to-have</w:t>
      </w:r>
      <w:r>
        <w:rPr>
          <w:rFonts w:ascii="Arial" w:hAnsi="Arial" w:eastAsia="Arial" w:cs="Arial"/>
          <w:b w:val="0"/>
          <w:i w:val="0"/>
          <w:strike w:val="0"/>
          <w:color w:val="202124"/>
          <w:sz w:val="21"/>
        </w:rPr>
        <w:t xml:space="preserve"> stretch work.</w:t>
      </w:r>
    </w:p>
    <w:p>
      <w:pPr>
        <w:pStyle w:val="ListBullet"/>
        <w:spacing w:before="40" w:after="120" w:line="276" w:lineRule="auto"/>
        <w:ind w:left="504"/>
      </w:pPr>
      <w:r>
        <w:rPr>
          <w:rFonts w:ascii="Arial" w:hAnsi="Arial" w:eastAsia="Arial" w:cs="Arial"/>
          <w:b w:val="0"/>
          <w:i w:val="0"/>
          <w:strike w:val="0"/>
          <w:color w:val="202124"/>
          <w:sz w:val="21"/>
        </w:rPr>
        <w:t xml:space="preserve">Major questions can be tracked in the </w:t>
      </w:r>
      <w:hyperlink r:id="rId11">
        <w:r>
          <w:rPr>
            <w:rFonts w:ascii="Arial" w:hAnsi="Arial" w:eastAsia="Arial" w:cs="Arial"/>
            <w:b w:val="0"/>
            <w:i w:val="0"/>
            <w:strike w:val="0"/>
            <w:color w:val="1A73E8"/>
            <w:sz w:val="21"/>
            <w:u w:val="single"/>
          </w:rPr>
          <w:t>candidate portal</w:t>
        </w:r>
      </w:hyperlink>
      <w:r>
        <w:rPr>
          <w:rFonts w:ascii="Arial" w:hAnsi="Arial" w:eastAsia="Arial" w:cs="Arial"/>
          <w:b w:val="0"/>
          <w:i w:val="0"/>
          <w:strike w:val="0"/>
          <w:color w:val="202124"/>
          <w:sz w:val="21"/>
        </w:rPr>
        <w:t xml:space="preserve"> and closed out in writing.</w:t>
      </w:r>
    </w:p>
    <w:p>
      <w:pPr>
        <w:spacing w:before="0" w:after="120" w:line="276" w:lineRule="auto"/>
      </w:pPr>
      <w:r>
        <w:rPr>
          <w:rFonts w:ascii="Arial" w:hAnsi="Arial" w:eastAsia="Arial" w:cs="Arial"/>
          <w:b w:val="0"/>
          <w:i w:val="0"/>
          <w:strike w:val="0"/>
          <w:color w:val="202124"/>
          <w:sz w:val="21"/>
        </w:rPr>
        <w:t xml:space="preserve">Your benefits package will become effective on your start date and includes medical, dental, and vision coverage, a 401(k) plan with company match, 20 days of paid time off annually, parental leave, and access to the </w:t>
      </w:r>
      <w:hyperlink r:id="rId12">
        <w:r>
          <w:rPr>
            <w:rFonts w:ascii="Arial" w:hAnsi="Arial" w:eastAsia="Arial" w:cs="Arial"/>
            <w:b w:val="0"/>
            <w:i w:val="0"/>
            <w:strike w:val="0"/>
            <w:color w:val="1A73E8"/>
            <w:sz w:val="21"/>
            <w:u w:val="single"/>
          </w:rPr>
          <w:t>benefits guide</w:t>
        </w:r>
      </w:hyperlink>
      <w:r>
        <w:rPr>
          <w:rFonts w:ascii="Arial" w:hAnsi="Arial" w:eastAsia="Arial" w:cs="Arial"/>
          <w:b w:val="0"/>
          <w:i w:val="0"/>
          <w:strike w:val="0"/>
          <w:color w:val="202124"/>
          <w:sz w:val="21"/>
        </w:rPr>
        <w:t>.</w:t>
      </w:r>
    </w:p>
    <w:p>
      <w:pPr>
        <w:spacing w:before="440" w:after="160"/>
      </w:pPr>
      <w:r>
        <w:rPr>
          <w:rFonts w:ascii="Arial" w:hAnsi="Arial" w:eastAsia="Arial" w:cs="Arial"/>
          <w:b/>
          <w:i w:val="0"/>
          <w:strike w:val="0"/>
          <w:color w:val="174EA6"/>
          <w:sz w:val="21"/>
        </w:rPr>
        <w:t>Decision Timeline</w:t>
      </w:r>
    </w:p>
    <w:tbl>
      <w:tblPr>
        <w:jc w:val="center"/>
        <w:tblLook w:firstColumn="1" w:firstRow="1" w:lastColumn="0" w:lastRow="0" w:noHBand="0" w:noVBand="1" w:val="04A0"/>
        <w:tblLayout w:type="fixed"/>
        <w:tblW w:w="9360" w:type="dxa"/>
        <w:tblBorders>
          <w:top w:val="single" w:sz="4" w:space="0" w:color="D1D5DB"/>
          <w:left w:val="single" w:sz="4" w:space="0" w:color="D1D5DB"/>
          <w:bottom w:val="single" w:sz="4" w:space="0" w:color="D1D5DB"/>
          <w:right w:val="single" w:sz="4" w:space="0" w:color="D1D5DB"/>
          <w:insideH w:val="single" w:sz="4" w:space="0" w:color="D1D5DB"/>
          <w:insideV w:val="single" w:sz="4" w:space="0" w:color="D1D5DB"/>
        </w:tblBorders>
        <w:tblCellMar>
          <w:top w:w="40" w:type="dxa"/>
          <w:left w:w="80" w:type="dxa"/>
          <w:bottom w:w="40" w:type="dxa"/>
          <w:right w:w="80" w:type="dxa"/>
        </w:tblCellMar>
      </w:tblPr>
      <w:tblGrid>
        <w:gridCol w:w="4485"/>
        <w:gridCol w:w="2730"/>
        <w:gridCol w:w="2145"/>
      </w:tblGrid>
      <w:tr>
        <w:tc>
          <w:tcPr>
            <w:tcW w:w="4485" w:type="dxa"/>
            <w:vAlign w:val="center"/>
            <w:shd w:fill="F3F4F6" w:val="clear"/>
          </w:tcPr>
          <w:p>
            <w:pPr>
              <w:spacing w:before="60" w:after="60"/>
              <w:jc w:val="left"/>
            </w:pPr>
            <w:r>
              <w:rPr>
                <w:rFonts w:ascii="Arial" w:hAnsi="Arial" w:eastAsia="Arial" w:cs="Arial"/>
                <w:b/>
                <w:i w:val="0"/>
                <w:strike w:val="0"/>
                <w:color w:val="202124"/>
                <w:sz w:val="21"/>
              </w:rPr>
              <w:t>Milestone</w:t>
            </w:r>
          </w:p>
        </w:tc>
        <w:tc>
          <w:tcPr>
            <w:tcW w:w="2730" w:type="dxa"/>
            <w:vAlign w:val="center"/>
            <w:shd w:fill="F3F4F6" w:val="clear"/>
          </w:tcPr>
          <w:p>
            <w:pPr>
              <w:spacing w:before="60" w:after="60"/>
              <w:jc w:val="center"/>
            </w:pPr>
            <w:r>
              <w:rPr>
                <w:rFonts w:ascii="Arial" w:hAnsi="Arial" w:eastAsia="Arial" w:cs="Arial"/>
                <w:b/>
                <w:i w:val="0"/>
                <w:strike w:val="0"/>
                <w:color w:val="202124"/>
                <w:sz w:val="21"/>
              </w:rPr>
              <w:t>Date</w:t>
            </w:r>
          </w:p>
        </w:tc>
        <w:tc>
          <w:tcPr>
            <w:tcW w:w="2145" w:type="dxa"/>
            <w:vAlign w:val="center"/>
            <w:shd w:fill="F3F4F6" w:val="clear"/>
          </w:tcPr>
          <w:p>
            <w:pPr>
              <w:spacing w:before="60" w:after="60"/>
              <w:jc w:val="right"/>
            </w:pPr>
            <w:r>
              <w:rPr>
                <w:rFonts w:ascii="Arial" w:hAnsi="Arial" w:eastAsia="Arial" w:cs="Arial"/>
                <w:b/>
                <w:i w:val="0"/>
                <w:strike w:val="0"/>
                <w:color w:val="202124"/>
                <w:sz w:val="21"/>
              </w:rPr>
              <w:t>Owner</w:t>
            </w:r>
          </w:p>
        </w:tc>
      </w:tr>
      <w:tr>
        <w:tc>
          <w:tcPr>
            <w:tcW w:w="4485" w:type="dxa"/>
            <w:vAlign w:val="center"/>
          </w:tcPr>
          <w:p>
            <w:pPr>
              <w:spacing w:before="40" w:after="40"/>
              <w:jc w:val="left"/>
            </w:pPr>
            <w:r>
              <w:rPr>
                <w:rFonts w:ascii="Arial" w:hAnsi="Arial" w:eastAsia="Arial" w:cs="Arial"/>
                <w:b w:val="0"/>
                <w:i w:val="0"/>
                <w:strike w:val="0"/>
                <w:color w:val="202124"/>
                <w:sz w:val="21"/>
              </w:rPr>
              <w:t>Offer issued</w:t>
            </w:r>
          </w:p>
        </w:tc>
        <w:tc>
          <w:tcPr>
            <w:tcW w:w="2730" w:type="dxa"/>
            <w:vAlign w:val="center"/>
          </w:tcPr>
          <w:p>
            <w:pPr>
              <w:spacing w:before="40" w:after="40"/>
              <w:jc w:val="center"/>
            </w:pPr>
            <w:r>
              <w:rPr>
                <w:rFonts w:ascii="Arial" w:hAnsi="Arial" w:eastAsia="Arial" w:cs="Arial"/>
                <w:b w:val="0"/>
                <w:i w:val="0"/>
                <w:strike w:val="0"/>
                <w:color w:val="202124"/>
                <w:sz w:val="21"/>
              </w:rPr>
              <w:t>March 19, 2026</w:t>
            </w:r>
          </w:p>
        </w:tc>
        <w:tc>
          <w:tcPr>
            <w:tcW w:w="2145" w:type="dxa"/>
            <w:vAlign w:val="center"/>
          </w:tcPr>
          <w:p>
            <w:pPr>
              <w:spacing w:before="40" w:after="40"/>
              <w:jc w:val="right"/>
            </w:pPr>
            <w:r>
              <w:rPr>
                <w:rFonts w:ascii="Arial" w:hAnsi="Arial" w:eastAsia="Arial" w:cs="Arial"/>
                <w:b w:val="0"/>
                <w:i w:val="0"/>
                <w:strike w:val="0"/>
                <w:color w:val="202124"/>
                <w:sz w:val="21"/>
              </w:rPr>
              <w:t>Goggle LLC</w:t>
            </w:r>
          </w:p>
        </w:tc>
      </w:tr>
      <w:tr>
        <w:tc>
          <w:tcPr>
            <w:tcW w:w="4485" w:type="dxa"/>
            <w:vAlign w:val="center"/>
          </w:tcPr>
          <w:p>
            <w:pPr>
              <w:spacing w:before="40" w:after="40"/>
              <w:jc w:val="left"/>
            </w:pPr>
            <w:r>
              <w:rPr>
                <w:rFonts w:ascii="Arial" w:hAnsi="Arial" w:eastAsia="Arial" w:cs="Arial"/>
                <w:b w:val="0"/>
                <w:i w:val="0"/>
                <w:strike w:val="0"/>
                <w:color w:val="202124"/>
                <w:sz w:val="21"/>
              </w:rPr>
              <w:t>Candidate questions due</w:t>
            </w:r>
          </w:p>
        </w:tc>
        <w:tc>
          <w:tcPr>
            <w:tcW w:w="2730" w:type="dxa"/>
            <w:vAlign w:val="center"/>
          </w:tcPr>
          <w:p>
            <w:pPr>
              <w:spacing w:before="40" w:after="40"/>
              <w:jc w:val="center"/>
            </w:pPr>
            <w:r>
              <w:rPr>
                <w:rFonts w:ascii="Arial" w:hAnsi="Arial" w:eastAsia="Arial" w:cs="Arial"/>
                <w:b w:val="0"/>
                <w:i w:val="0"/>
                <w:strike w:val="0"/>
                <w:color w:val="202124"/>
                <w:sz w:val="21"/>
              </w:rPr>
              <w:t>March 27, 2026</w:t>
            </w:r>
          </w:p>
        </w:tc>
        <w:tc>
          <w:tcPr>
            <w:tcW w:w="2145" w:type="dxa"/>
            <w:vAlign w:val="center"/>
          </w:tcPr>
          <w:p>
            <w:pPr>
              <w:spacing w:before="40" w:after="40"/>
              <w:jc w:val="right"/>
            </w:pPr>
            <w:r>
              <w:rPr>
                <w:rFonts w:ascii="Arial" w:hAnsi="Arial" w:eastAsia="Arial" w:cs="Arial"/>
                <w:b w:val="0"/>
                <w:i w:val="0"/>
                <w:strike w:val="0"/>
                <w:color w:val="202124"/>
                <w:sz w:val="21"/>
              </w:rPr>
              <w:t>Jordan Chen</w:t>
            </w:r>
          </w:p>
        </w:tc>
      </w:tr>
      <w:tr>
        <w:tc>
          <w:tcPr>
            <w:tcW w:w="4485" w:type="dxa"/>
            <w:vAlign w:val="center"/>
          </w:tcPr>
          <w:p>
            <w:pPr>
              <w:spacing w:before="40" w:after="40"/>
              <w:jc w:val="left"/>
            </w:pPr>
            <w:r>
              <w:rPr>
                <w:rFonts w:ascii="Arial" w:hAnsi="Arial" w:eastAsia="Arial" w:cs="Arial"/>
                <w:b w:val="0"/>
                <w:i w:val="0"/>
                <w:strike w:val="0"/>
                <w:color w:val="202124"/>
                <w:sz w:val="21"/>
              </w:rPr>
              <w:t>Signed offer due</w:t>
            </w:r>
          </w:p>
        </w:tc>
        <w:tc>
          <w:tcPr>
            <w:tcW w:w="2730" w:type="dxa"/>
            <w:vAlign w:val="center"/>
          </w:tcPr>
          <w:p>
            <w:pPr>
              <w:spacing w:before="40" w:after="40"/>
              <w:jc w:val="center"/>
            </w:pPr>
            <w:r>
              <w:rPr>
                <w:rFonts w:ascii="Arial" w:hAnsi="Arial" w:eastAsia="Arial" w:cs="Arial"/>
                <w:b w:val="0"/>
                <w:i w:val="0"/>
                <w:strike w:val="0"/>
                <w:color w:val="202124"/>
                <w:sz w:val="21"/>
              </w:rPr>
              <w:t>April 4, 2026</w:t>
            </w:r>
          </w:p>
        </w:tc>
        <w:tc>
          <w:tcPr>
            <w:tcW w:w="2145" w:type="dxa"/>
            <w:vAlign w:val="center"/>
          </w:tcPr>
          <w:p>
            <w:pPr>
              <w:spacing w:before="40" w:after="40"/>
              <w:jc w:val="right"/>
            </w:pPr>
            <w:r>
              <w:rPr>
                <w:rFonts w:ascii="Arial" w:hAnsi="Arial" w:eastAsia="Arial" w:cs="Arial"/>
                <w:b w:val="0"/>
                <w:i w:val="0"/>
                <w:strike w:val="0"/>
                <w:color w:val="202124"/>
                <w:sz w:val="21"/>
              </w:rPr>
              <w:t>Jordan Chen</w:t>
            </w:r>
          </w:p>
        </w:tc>
      </w:tr>
    </w:tbl>
    <w:p>
      <w:pPr>
        <w:spacing w:before="440" w:after="160"/>
      </w:pPr>
      <w:r>
        <w:rPr>
          <w:rFonts w:ascii="Arial" w:hAnsi="Arial" w:eastAsia="Arial" w:cs="Arial"/>
          <w:b/>
          <w:i w:val="0"/>
          <w:strike w:val="0"/>
          <w:color w:val="174EA6"/>
          <w:sz w:val="21"/>
        </w:rPr>
        <w:t>Start Week Snapshot</w:t>
      </w:r>
    </w:p>
    <w:p>
      <w:pPr>
        <w:spacing w:before="0" w:after="160" w:line="20" w:lineRule="exact"/>
      </w:pPr>
    </w:p>
    <w:tbl>
      <w:tblPr>
        <w:jc w:val="center"/>
        <w:tblLook w:firstColumn="1" w:firstRow="1" w:lastColumn="0" w:lastRow="0" w:noHBand="0" w:noVBand="1" w:val="04A0"/>
        <w:tblLayout w:type="fixed"/>
        <w:tblW w:w="9360" w:type="dxa"/>
        <w:tblBorders>
          <w:top w:val="single" w:sz="4" w:space="0" w:color="D1D5DB"/>
          <w:left w:val="single" w:sz="4" w:space="0" w:color="D1D5DB"/>
          <w:bottom w:val="single" w:sz="4" w:space="0" w:color="D1D5DB"/>
          <w:right w:val="single" w:sz="4" w:space="0" w:color="D1D5DB"/>
          <w:insideH w:val="single" w:sz="4" w:space="0" w:color="D1D5DB"/>
          <w:insideV w:val="single" w:sz="4" w:space="0" w:color="D1D5DB"/>
        </w:tblBorders>
        <w:tblCellMar>
          <w:top w:w="40" w:type="dxa"/>
          <w:left w:w="80" w:type="dxa"/>
          <w:bottom w:w="40" w:type="dxa"/>
          <w:right w:w="80" w:type="dxa"/>
        </w:tblCellMar>
      </w:tblPr>
      <w:tblGrid>
        <w:gridCol w:w="1872"/>
        <w:gridCol w:w="3744"/>
        <w:gridCol w:w="3744"/>
      </w:tblGrid>
      <w:tr>
        <w:tc>
          <w:tcPr>
            <w:tcW w:w="1872" w:type="dxa"/>
            <w:vAlign w:val="center"/>
            <w:shd w:fill="E6F4EA" w:val="clear"/>
          </w:tcPr>
          <w:p>
            <w:pPr>
              <w:spacing w:before="60" w:after="60"/>
              <w:jc w:val="left"/>
            </w:pPr>
            <w:r>
              <w:rPr>
                <w:rFonts w:ascii="Arial" w:hAnsi="Arial" w:eastAsia="Arial" w:cs="Arial"/>
                <w:b/>
                <w:i w:val="0"/>
                <w:strike w:val="0"/>
                <w:color w:val="202124"/>
                <w:sz w:val="21"/>
              </w:rPr>
              <w:t>Day</w:t>
            </w:r>
          </w:p>
        </w:tc>
        <w:tc>
          <w:tcPr>
            <w:tcW w:w="3744" w:type="dxa"/>
            <w:vAlign w:val="center"/>
            <w:shd w:fill="E6F4EA" w:val="clear"/>
          </w:tcPr>
          <w:p>
            <w:pPr>
              <w:spacing w:before="60" w:after="60"/>
              <w:jc w:val="left"/>
            </w:pPr>
            <w:r>
              <w:rPr>
                <w:rFonts w:ascii="Arial" w:hAnsi="Arial" w:eastAsia="Arial" w:cs="Arial"/>
                <w:b/>
                <w:i w:val="0"/>
                <w:strike w:val="0"/>
                <w:color w:val="202124"/>
                <w:sz w:val="21"/>
              </w:rPr>
              <w:t>Focus</w:t>
            </w:r>
          </w:p>
        </w:tc>
        <w:tc>
          <w:tcPr>
            <w:tcW w:w="3744" w:type="dxa"/>
            <w:vAlign w:val="center"/>
            <w:shd w:fill="E6F4EA" w:val="clear"/>
          </w:tcPr>
          <w:p>
            <w:pPr>
              <w:spacing w:before="60" w:after="60"/>
              <w:jc w:val="left"/>
            </w:pPr>
            <w:r>
              <w:rPr>
                <w:rFonts w:ascii="Arial" w:hAnsi="Arial" w:eastAsia="Arial" w:cs="Arial"/>
                <w:b/>
                <w:i w:val="0"/>
                <w:strike w:val="0"/>
                <w:color w:val="202124"/>
                <w:sz w:val="21"/>
              </w:rPr>
              <w:t>Primary Contacts</w:t>
            </w:r>
          </w:p>
        </w:tc>
      </w:tr>
      <w:tr>
        <w:tc>
          <w:tcPr>
            <w:tcW w:w="1872" w:type="dxa"/>
            <w:vAlign w:val="center"/>
          </w:tcPr>
          <w:p>
            <w:pPr>
              <w:spacing w:before="40" w:after="40"/>
              <w:jc w:val="left"/>
            </w:pPr>
            <w:r>
              <w:rPr>
                <w:rFonts w:ascii="Arial" w:hAnsi="Arial" w:eastAsia="Arial" w:cs="Arial"/>
                <w:b w:val="0"/>
                <w:i w:val="0"/>
                <w:strike w:val="0"/>
                <w:color w:val="202124"/>
                <w:sz w:val="21"/>
              </w:rPr>
              <w:t>Day 1</w:t>
            </w:r>
          </w:p>
        </w:tc>
        <w:tc>
          <w:tcPr>
            <w:tcW w:w="3744" w:type="dxa"/>
            <w:vAlign w:val="center"/>
          </w:tcPr>
          <w:p>
            <w:pPr>
              <w:spacing w:before="40" w:after="40"/>
              <w:jc w:val="left"/>
            </w:pPr>
            <w:r>
              <w:rPr>
                <w:rFonts w:ascii="Arial" w:hAnsi="Arial" w:eastAsia="Arial" w:cs="Arial"/>
                <w:b w:val="0"/>
                <w:i w:val="0"/>
                <w:strike w:val="0"/>
                <w:color w:val="202124"/>
                <w:sz w:val="21"/>
              </w:rPr>
              <w:t>Orientation, equipment pickup, and access review</w:t>
            </w:r>
          </w:p>
        </w:tc>
        <w:tc>
          <w:tcPr>
            <w:tcW w:w="3744" w:type="dxa"/>
            <w:vAlign w:val="center"/>
          </w:tcPr>
          <w:p>
            <w:pPr>
              <w:spacing w:before="40" w:after="40"/>
              <w:jc w:val="left"/>
            </w:pPr>
            <w:r>
              <w:rPr>
                <w:rFonts w:ascii="Arial" w:hAnsi="Arial" w:eastAsia="Arial" w:cs="Arial"/>
                <w:b w:val="0"/>
                <w:i w:val="0"/>
                <w:strike w:val="0"/>
                <w:color w:val="202124"/>
                <w:sz w:val="21"/>
              </w:rPr>
              <w:t>Recruiting, IT, manager</w:t>
            </w:r>
          </w:p>
        </w:tc>
      </w:tr>
      <w:tr>
        <w:tc>
          <w:tcPr>
            <w:tcW w:w="1872" w:type="dxa"/>
            <w:vAlign w:val="center"/>
            <w:shd w:fill="F6FFF8" w:val="clear"/>
          </w:tcPr>
          <w:p>
            <w:pPr>
              <w:spacing w:before="40" w:after="40"/>
              <w:jc w:val="left"/>
            </w:pPr>
            <w:r>
              <w:rPr>
                <w:rFonts w:ascii="Arial" w:hAnsi="Arial" w:eastAsia="Arial" w:cs="Arial"/>
                <w:b w:val="0"/>
                <w:i w:val="0"/>
                <w:strike w:val="0"/>
                <w:color w:val="202124"/>
                <w:sz w:val="21"/>
              </w:rPr>
              <w:t>Day 2</w:t>
            </w:r>
          </w:p>
        </w:tc>
        <w:tc>
          <w:tcPr>
            <w:tcW w:w="3744" w:type="dxa"/>
            <w:vAlign w:val="center"/>
            <w:shd w:fill="F6FFF8" w:val="clear"/>
          </w:tcPr>
          <w:p>
            <w:pPr>
              <w:spacing w:before="40" w:after="40"/>
              <w:jc w:val="left"/>
            </w:pPr>
            <w:r>
              <w:rPr>
                <w:rFonts w:ascii="Arial" w:hAnsi="Arial" w:eastAsia="Arial" w:cs="Arial"/>
                <w:b w:val="0"/>
                <w:i w:val="0"/>
                <w:strike w:val="0"/>
                <w:color w:val="202124"/>
                <w:sz w:val="21"/>
              </w:rPr>
              <w:t>Service map walkthrough and incident review cadence</w:t>
            </w:r>
          </w:p>
        </w:tc>
        <w:tc>
          <w:tcPr>
            <w:tcW w:w="3744" w:type="dxa"/>
            <w:vAlign w:val="center"/>
            <w:shd w:fill="F6FFF8" w:val="clear"/>
          </w:tcPr>
          <w:p>
            <w:pPr>
              <w:spacing w:before="40" w:after="40"/>
              <w:jc w:val="left"/>
            </w:pPr>
            <w:r>
              <w:rPr>
                <w:rFonts w:ascii="Arial" w:hAnsi="Arial" w:eastAsia="Arial" w:cs="Arial"/>
                <w:b w:val="0"/>
                <w:i w:val="0"/>
                <w:strike w:val="0"/>
                <w:color w:val="202124"/>
                <w:sz w:val="21"/>
              </w:rPr>
              <w:t>Manager, SRE partner</w:t>
            </w:r>
          </w:p>
        </w:tc>
      </w:tr>
      <w:tr>
        <w:tc>
          <w:tcPr>
            <w:tcW w:w="1872" w:type="dxa"/>
            <w:vAlign w:val="center"/>
          </w:tcPr>
          <w:p>
            <w:pPr>
              <w:spacing w:before="40" w:after="40"/>
              <w:jc w:val="left"/>
            </w:pPr>
            <w:r>
              <w:rPr>
                <w:rFonts w:ascii="Arial" w:hAnsi="Arial" w:eastAsia="Arial" w:cs="Arial"/>
                <w:b w:val="0"/>
                <w:i w:val="0"/>
                <w:strike w:val="0"/>
                <w:color w:val="202124"/>
                <w:sz w:val="21"/>
              </w:rPr>
              <w:t>Day 3</w:t>
            </w:r>
          </w:p>
        </w:tc>
        <w:tc>
          <w:tcPr>
            <w:tcW w:w="3744" w:type="dxa"/>
            <w:vAlign w:val="center"/>
          </w:tcPr>
          <w:p>
            <w:pPr>
              <w:spacing w:before="40" w:after="40"/>
              <w:jc w:val="left"/>
            </w:pPr>
            <w:r>
              <w:rPr>
                <w:rFonts w:ascii="Arial" w:hAnsi="Arial" w:eastAsia="Arial" w:cs="Arial"/>
                <w:b w:val="0"/>
                <w:i w:val="0"/>
                <w:strike w:val="0"/>
                <w:color w:val="202124"/>
                <w:sz w:val="21"/>
              </w:rPr>
              <w:t>Shadow on-call handoff and planning review</w:t>
            </w:r>
          </w:p>
        </w:tc>
        <w:tc>
          <w:tcPr>
            <w:tcW w:w="3744" w:type="dxa"/>
            <w:vAlign w:val="center"/>
          </w:tcPr>
          <w:p>
            <w:pPr>
              <w:spacing w:before="40" w:after="40"/>
              <w:jc w:val="left"/>
            </w:pPr>
            <w:r>
              <w:rPr>
                <w:rFonts w:ascii="Arial" w:hAnsi="Arial" w:eastAsia="Arial" w:cs="Arial"/>
                <w:b w:val="0"/>
                <w:i w:val="0"/>
                <w:strike w:val="0"/>
                <w:color w:val="202124"/>
                <w:sz w:val="21"/>
              </w:rPr>
              <w:t>Team lead, TPM</w:t>
            </w:r>
          </w:p>
        </w:tc>
      </w:tr>
    </w:tbl>
    <w:p>
      <w:pPr>
        <w:spacing w:before="0" w:after="240" w:line="20" w:lineRule="exact"/>
      </w:pPr>
    </w:p>
    <w:p>
      <w:pPr>
        <w:spacing w:before="440" w:after="160"/>
      </w:pPr>
      <w:r>
        <w:rPr>
          <w:rFonts w:ascii="Arial" w:hAnsi="Arial" w:eastAsia="Arial" w:cs="Arial"/>
          <w:b/>
          <w:i w:val="0"/>
          <w:strike w:val="0"/>
          <w:color w:val="174EA6"/>
          <w:sz w:val="21"/>
        </w:rPr>
        <w:t>Additional Terms</w:t>
      </w:r>
    </w:p>
    <w:p>
      <w:pPr>
        <w:spacing w:before="0" w:after="120" w:line="276" w:lineRule="auto"/>
      </w:pPr>
      <w:r>
        <w:rPr>
          <w:rFonts w:ascii="Arial" w:hAnsi="Arial" w:eastAsia="Arial" w:cs="Arial"/>
          <w:b w:val="0"/>
          <w:i w:val="0"/>
          <w:strike w:val="0"/>
          <w:color w:val="202124"/>
          <w:sz w:val="21"/>
        </w:rPr>
      </w:r>
      <w:r>
        <w:rPr>
          <w:rFonts w:ascii="Arial" w:hAnsi="Arial" w:eastAsia="Arial" w:cs="Arial"/>
          <w:b/>
          <w:i w:val="0"/>
          <w:strike w:val="0"/>
          <w:color w:val="202124"/>
          <w:sz w:val="21"/>
        </w:rPr>
        <w:t>Conditions.</w:t>
      </w:r>
      <w:r>
        <w:rPr>
          <w:rFonts w:ascii="Arial" w:hAnsi="Arial" w:eastAsia="Arial" w:cs="Arial"/>
          <w:b w:val="0"/>
          <w:i w:val="0"/>
          <w:strike w:val="0"/>
          <w:color w:val="202124"/>
          <w:sz w:val="21"/>
        </w:rPr>
        <w:t xml:space="preserve"> This offer is contingent upon successful completion of a background check and verification of your eligibility to work in the United States. Employment with Goggle LLC is at-will, meaning either party may terminate the employment relationship at any time, with or without cause or advance notice.</w:t>
      </w:r>
    </w:p>
    <w:p>
      <w:pPr>
        <w:spacing w:before="0" w:after="120" w:line="276" w:lineRule="auto"/>
      </w:pPr>
      <w:r>
        <w:rPr>
          <w:rFonts w:ascii="Arial" w:hAnsi="Arial" w:eastAsia="Arial" w:cs="Arial"/>
          <w:b w:val="0"/>
          <w:i w:val="0"/>
          <w:strike w:val="0"/>
          <w:color w:val="202124"/>
          <w:sz w:val="21"/>
        </w:rPr>
        <w:t xml:space="preserve">The earlier </w:t>
      </w:r>
      <w:r>
        <w:rPr>
          <w:rFonts w:ascii="Arial" w:hAnsi="Arial" w:eastAsia="Arial" w:cs="Arial"/>
          <w:b w:val="0"/>
          <w:i w:val="0"/>
          <w:strike/>
          <w:color w:val="202124"/>
          <w:sz w:val="21"/>
        </w:rPr>
        <w:t>24-month relocation repayment</w:t>
      </w:r>
      <w:r>
        <w:rPr>
          <w:rFonts w:ascii="Arial" w:hAnsi="Arial" w:eastAsia="Arial" w:cs="Arial"/>
          <w:b w:val="0"/>
          <w:i w:val="0"/>
          <w:strike w:val="0"/>
          <w:color w:val="202124"/>
          <w:sz w:val="21"/>
        </w:rPr>
        <w:t xml:space="preserve"> draft language has been removed; no relocation repayment obligation applies under this offer.</w:t>
      </w:r>
    </w:p>
    <w:p>
      <w:pPr>
        <w:spacing w:before="440" w:after="160"/>
      </w:pPr>
      <w:r>
        <w:rPr>
          <w:rFonts w:ascii="Arial" w:hAnsi="Arial" w:eastAsia="Arial" w:cs="Arial"/>
          <w:b/>
          <w:i w:val="0"/>
          <w:strike w:val="0"/>
          <w:color w:val="174EA6"/>
          <w:sz w:val="21"/>
        </w:rPr>
        <w:t>Onboarding Reference</w:t>
      </w:r>
    </w:p>
    <w:p>
      <w:pPr>
        <w:spacing w:before="0" w:after="120" w:line="276" w:lineRule="auto"/>
      </w:pPr>
      <w:r>
        <w:rPr>
          <w:rFonts w:ascii="Arial" w:hAnsi="Arial" w:eastAsia="Arial" w:cs="Arial"/>
          <w:b w:val="0"/>
          <w:i w:val="0"/>
          <w:strike w:val="0"/>
          <w:color w:val="202124"/>
          <w:sz w:val="21"/>
        </w:rPr>
        <w:t>The following wordmark is included in the body to verify standalone image rendering in addition to the page header asset.</w:t>
      </w:r>
    </w:p>
    <w:p>
      <w:pPr>
        <w:spacing w:before="160" w:after="80"/>
        <w:jc w:val="center"/>
      </w:pPr>
      <w:r>
        <w:drawing>
          <wp:inline xmlns:a="http://schemas.openxmlformats.org/drawingml/2006/main" xmlns:pic="http://schemas.openxmlformats.org/drawingml/2006/picture">
            <wp:extent cx="2615184" cy="1085861"/>
            <wp:docPr id="1" name="Picture 1"/>
            <wp:cNvGraphicFramePr>
              <a:graphicFrameLocks noChangeAspect="1"/>
            </wp:cNvGraphicFramePr>
            <a:graphic>
              <a:graphicData uri="http://schemas.openxmlformats.org/drawingml/2006/picture">
                <pic:pic>
                  <pic:nvPicPr>
                    <pic:cNvPr id="0" name="logo.png"/>
                    <pic:cNvPicPr/>
                  </pic:nvPicPr>
                  <pic:blipFill>
                    <a:blip r:embed="rId13"/>
                    <a:stretch>
                      <a:fillRect/>
                    </a:stretch>
                  </pic:blipFill>
                  <pic:spPr>
                    <a:xfrm>
                      <a:off x="0" y="0"/>
                      <a:ext cx="2615184" cy="1085861"/>
                    </a:xfrm>
                    <a:prstGeom prst="rect"/>
                  </pic:spPr>
                </pic:pic>
              </a:graphicData>
            </a:graphic>
          </wp:inline>
        </w:drawing>
      </w:r>
    </w:p>
    <w:p>
      <w:pPr>
        <w:spacing w:after="160"/>
        <w:jc w:val="center"/>
      </w:pPr>
      <w:r>
        <w:rPr>
          <w:rFonts w:ascii="Arial" w:hAnsi="Arial" w:eastAsia="Arial" w:cs="Arial"/>
          <w:i/>
          <w:color w:val="202124"/>
          <w:sz w:val="18"/>
        </w:rPr>
        <w:t>Goggle wordmark reference</w:t>
      </w:r>
    </w:p>
    <w:p>
      <w:pPr>
        <w:spacing w:before="0" w:after="160" w:line="40" w:lineRule="exact"/>
        <w:pBdr>
          <w:bottom w:val="single" w:sz="4" w:space="4" w:color="D1D5DB"/>
        </w:pBdr>
      </w:pPr>
      <w:r>
        <w:rPr>
          <w:sz w:val="4"/>
        </w:rPr>
      </w:r>
    </w:p>
    <w:p>
      <w:pPr>
        <w:spacing w:before="440" w:after="160"/>
      </w:pPr>
      <w:r>
        <w:rPr>
          <w:rFonts w:ascii="Arial" w:hAnsi="Arial" w:eastAsia="Arial" w:cs="Arial"/>
          <w:b/>
          <w:i w:val="0"/>
          <w:strike w:val="0"/>
          <w:color w:val="174EA6"/>
          <w:sz w:val="21"/>
        </w:rPr>
        <w:t>Acceptance Process</w:t>
      </w:r>
    </w:p>
    <w:p>
      <w:pPr>
        <w:spacing w:before="0" w:after="120" w:line="276" w:lineRule="auto"/>
      </w:pPr>
      <w:r>
        <w:rPr>
          <w:rFonts w:ascii="Arial" w:hAnsi="Arial" w:eastAsia="Arial" w:cs="Arial"/>
          <w:b w:val="0"/>
          <w:i w:val="0"/>
          <w:strike w:val="0"/>
          <w:color w:val="202124"/>
          <w:sz w:val="21"/>
        </w:rPr>
        <w:t xml:space="preserve">Please confirm your acceptance by signing and returning this letter no later than </w:t>
      </w:r>
      <w:r>
        <w:rPr>
          <w:rFonts w:ascii="Arial" w:hAnsi="Arial" w:eastAsia="Arial" w:cs="Arial"/>
          <w:b/>
          <w:i w:val="0"/>
          <w:strike w:val="0"/>
          <w:color w:val="202124"/>
          <w:sz w:val="21"/>
        </w:rPr>
        <w:t>April 4, 2026</w:t>
      </w:r>
      <w:r>
        <w:rPr>
          <w:rFonts w:ascii="Arial" w:hAnsi="Arial" w:eastAsia="Arial" w:cs="Arial"/>
          <w:b w:val="0"/>
          <w:i w:val="0"/>
          <w:strike w:val="0"/>
          <w:color w:val="202124"/>
          <w:sz w:val="21"/>
        </w:rPr>
        <w:t xml:space="preserve">. If you have questions, email </w:t>
      </w:r>
      <w:hyperlink r:id="rId14">
        <w:r>
          <w:rPr>
            <w:rFonts w:ascii="Arial" w:hAnsi="Arial" w:eastAsia="Arial" w:cs="Arial"/>
            <w:b w:val="0"/>
            <w:i w:val="0"/>
            <w:strike w:val="0"/>
            <w:color w:val="1A73E8"/>
            <w:sz w:val="21"/>
            <w:u w:val="single"/>
          </w:rPr>
          <w:t>maria.rodriguez@goggle.example</w:t>
        </w:r>
      </w:hyperlink>
      <w:r>
        <w:rPr>
          <w:rFonts w:ascii="Arial" w:hAnsi="Arial" w:eastAsia="Arial" w:cs="Arial"/>
          <w:b w:val="0"/>
          <w:i w:val="0"/>
          <w:strike w:val="0"/>
          <w:color w:val="202124"/>
          <w:sz w:val="21"/>
        </w:rPr>
        <w:t>.</w:t>
      </w:r>
      <w:r>
        <w:br/>
      </w:r>
      <w:r>
        <w:rPr>
          <w:rFonts w:ascii="Arial" w:hAnsi="Arial" w:eastAsia="Arial" w:cs="Arial"/>
          <w:b w:val="0"/>
          <w:i w:val="0"/>
          <w:strike w:val="0"/>
          <w:color w:val="202124"/>
          <w:sz w:val="21"/>
        </w:rPr>
        <w:t xml:space="preserve">Use the subject line </w:t>
      </w:r>
      <w:r>
        <w:rPr>
          <w:rFonts w:ascii="Consolas" w:hAnsi="Consolas" w:eastAsia="Consolas" w:cs="Consolas"/>
          <w:color w:val="202124"/>
          <w:sz w:val="21"/>
        </w:rPr>
        <w:t>Offer Questions - Jordan Chen</w:t>
      </w:r>
      <w:r>
        <w:rPr>
          <w:rFonts w:ascii="Arial" w:hAnsi="Arial" w:eastAsia="Arial" w:cs="Arial"/>
          <w:b w:val="0"/>
          <w:i w:val="0"/>
          <w:strike w:val="0"/>
          <w:color w:val="202124"/>
          <w:sz w:val="21"/>
        </w:rPr>
        <w:t>.</w:t>
      </w:r>
    </w:p>
    <w:p>
      <w:pPr>
        <w:spacing w:before="160" w:after="200" w:line="276" w:lineRule="auto"/>
        <w:shd w:fill="F1F3F4" w:val="clear"/>
      </w:pPr>
      <w:r>
        <w:rPr>
          <w:rFonts w:ascii="Consolas" w:hAnsi="Consolas" w:eastAsia="Consolas" w:cs="Consolas"/>
          <w:color w:val="202124"/>
          <w:sz w:val="19"/>
        </w:rPr>
        <w:t>I, Jordan Chen, accept the Senior Software Engineer (L5) offer from Goggle LLC with a start date of May 5, 2026.</w:t>
        <w:br/>
        <w:t>I understand that employment is at-will and contingent upon background and work authorization checks.</w:t>
      </w:r>
    </w:p>
    <w:p>
      <w:pPr>
        <w:spacing w:before="0" w:after="120" w:line="276" w:lineRule="auto"/>
      </w:pPr>
      <w:r>
        <w:rPr>
          <w:rFonts w:ascii="Arial" w:hAnsi="Arial" w:eastAsia="Arial" w:cs="Arial"/>
          <w:b w:val="0"/>
          <w:i w:val="0"/>
          <w:strike w:val="0"/>
          <w:color w:val="202124"/>
          <w:sz w:val="21"/>
        </w:rPr>
        <w:t>We are thrilled to have you join the team and look forward to the contributions you will make.</w:t>
      </w:r>
    </w:p>
    <w:p>
      <w:pPr>
        <w:spacing w:before="0" w:after="120" w:line="276" w:lineRule="auto"/>
      </w:pPr>
      <w:r>
        <w:rPr>
          <w:rFonts w:ascii="Arial" w:hAnsi="Arial" w:eastAsia="Arial" w:cs="Arial"/>
          <w:b w:val="0"/>
          <w:i w:val="0"/>
          <w:strike w:val="0"/>
          <w:color w:val="202124"/>
          <w:sz w:val="21"/>
        </w:rPr>
        <w:t>Sincerely,</w:t>
      </w:r>
    </w:p>
    <w:p>
      <w:pPr>
        <w:spacing w:before="0" w:after="120" w:line="276" w:lineRule="auto"/>
      </w:pPr>
      <w:r>
        <w:rPr>
          <w:rFonts w:ascii="Arial" w:hAnsi="Arial" w:eastAsia="Arial" w:cs="Arial"/>
          <w:b w:val="0"/>
          <w:i w:val="0"/>
          <w:strike w:val="0"/>
          <w:color w:val="202124"/>
          <w:sz w:val="21"/>
        </w:rPr>
      </w:r>
      <w:r>
        <w:rPr>
          <w:rFonts w:ascii="Arial" w:hAnsi="Arial" w:eastAsia="Arial" w:cs="Arial"/>
          <w:b/>
          <w:i w:val="0"/>
          <w:strike w:val="0"/>
          <w:color w:val="202124"/>
          <w:sz w:val="21"/>
        </w:rPr>
        <w:t>Sarah Kim</w:t>
      </w:r>
      <w:r>
        <w:rPr>
          <w:rFonts w:ascii="Arial" w:hAnsi="Arial" w:eastAsia="Arial" w:cs="Arial"/>
          <w:b w:val="0"/>
          <w:i w:val="0"/>
          <w:strike w:val="0"/>
          <w:color w:val="202124"/>
          <w:sz w:val="21"/>
        </w:rPr>
      </w:r>
      <w:r>
        <w:br/>
      </w:r>
      <w:r>
        <w:rPr>
          <w:rFonts w:ascii="Arial" w:hAnsi="Arial" w:eastAsia="Arial" w:cs="Arial"/>
          <w:b w:val="0"/>
          <w:i w:val="0"/>
          <w:strike w:val="0"/>
          <w:color w:val="202124"/>
          <w:sz w:val="21"/>
        </w:rPr>
        <w:t>Vice President, Engineering</w:t>
      </w:r>
      <w:r>
        <w:br/>
      </w:r>
      <w:r>
        <w:rPr>
          <w:rFonts w:ascii="Arial" w:hAnsi="Arial" w:eastAsia="Arial" w:cs="Arial"/>
          <w:b w:val="0"/>
          <w:i w:val="0"/>
          <w:strike w:val="0"/>
          <w:color w:val="202124"/>
          <w:sz w:val="21"/>
        </w:rPr>
        <w:t>Goggle LLC</w:t>
      </w:r>
    </w:p>
    <w:p>
      <w:pPr>
        <w:spacing w:before="0" w:after="120" w:line="276" w:lineRule="auto"/>
      </w:pPr>
      <w:r>
        <w:rPr>
          <w:rFonts w:ascii="Arial" w:hAnsi="Arial" w:eastAsia="Arial" w:cs="Arial"/>
          <w:b w:val="0"/>
          <w:i w:val="0"/>
          <w:strike w:val="0"/>
          <w:color w:val="202124"/>
          <w:sz w:val="21"/>
        </w:rPr>
      </w:r>
      <w:r>
        <w:rPr>
          <w:rFonts w:ascii="Arial" w:hAnsi="Arial" w:eastAsia="Arial" w:cs="Arial"/>
          <w:b/>
          <w:i w:val="0"/>
          <w:strike w:val="0"/>
          <w:color w:val="202124"/>
          <w:sz w:val="21"/>
        </w:rPr>
        <w:t>Candidate Acceptance</w:t>
      </w:r>
      <w:r>
        <w:rPr>
          <w:rFonts w:ascii="Arial" w:hAnsi="Arial" w:eastAsia="Arial" w:cs="Arial"/>
          <w:b w:val="0"/>
          <w:i w:val="0"/>
          <w:strike w:val="0"/>
          <w:color w:val="202124"/>
          <w:sz w:val="21"/>
        </w:rPr>
      </w:r>
    </w:p>
    <w:p>
      <w:pPr>
        <w:spacing w:before="0" w:after="120" w:line="276" w:lineRule="auto"/>
      </w:pPr>
      <w:r>
        <w:rPr>
          <w:rFonts w:ascii="Arial" w:hAnsi="Arial" w:eastAsia="Arial" w:cs="Arial"/>
          <w:b w:val="0"/>
          <w:i w:val="0"/>
          <w:strike w:val="0"/>
          <w:color w:val="202124"/>
          <w:sz w:val="21"/>
        </w:rPr>
        <w:t>Signature: ______________________________   Date: ______________</w:t>
      </w:r>
    </w:p>
    <w:p>
      <w:pPr>
        <w:spacing w:before="0" w:after="120" w:line="276" w:lineRule="auto"/>
      </w:pPr>
      <w:r>
        <w:rPr>
          <w:rFonts w:ascii="Arial" w:hAnsi="Arial" w:eastAsia="Arial" w:cs="Arial"/>
          <w:b w:val="0"/>
          <w:i w:val="0"/>
          <w:strike w:val="0"/>
          <w:color w:val="202124"/>
          <w:sz w:val="21"/>
        </w:rPr>
        <w:t>Printed Name: Jordan Chen</w:t>
      </w:r>
    </w:p>
    <w:sectPr w:rsidR="00FC693F" w:rsidRPr="0006063C" w:rsidSect="00034616">
      <w:headerReference w:type="default" r:id="rId9"/>
      <w:footerReference w:type="default" r:id="rId10"/>
      <w:pgSz w:w="12240" w:h="15840"/>
      <w:pgMar w:top="1152"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160"/>
      <w:jc w:val="left"/>
      <w:pBdr>
        <w:top w:val="single" w:sz="4" w:space="4" w:color="DADCE0"/>
      </w:pBdr>
      <w:tabs>
        <w:tab w:val="center" w:pos="4680"/>
        <w:tab w:val="right" w:pos="9360"/>
      </w:tabs>
    </w:pPr>
    <w:r>
      <w:rPr>
        <w:rFonts w:ascii="Arial" w:hAnsi="Arial" w:eastAsia="Arial" w:cs="Arial"/>
        <w:b w:val="0"/>
        <w:i w:val="0"/>
        <w:strike w:val="0"/>
        <w:color w:val="5F6368"/>
        <w:sz w:val="16"/>
      </w:rPr>
      <w:t>Confidential</w:t>
    </w:r>
    <w:r>
      <w:rPr>
        <w:rFonts w:ascii="Arial" w:hAnsi="Arial" w:eastAsia="Arial" w:cs="Arial"/>
        <w:color w:val="5F6368"/>
        <w:sz w:val="16"/>
      </w:rPr>
      <w:tab/>
    </w:r>
    <w:r>
      <w:rPr>
        <w:rFonts w:ascii="Arial" w:hAnsi="Arial" w:eastAsia="Arial" w:cs="Arial"/>
        <w:b w:val="0"/>
        <w:i w:val="0"/>
        <w:strike w:val="0"/>
        <w:color w:val="5F6368"/>
        <w:sz w:val="16"/>
      </w:rPr>
      <w:t>Goggle LLC | Cloud Infrastructure</w:t>
    </w:r>
    <w:r>
      <w:rPr>
        <w:rFonts w:ascii="Arial" w:hAnsi="Arial" w:eastAsia="Arial" w:cs="Arial"/>
        <w:color w:val="5F6368"/>
        <w:sz w:val="16"/>
      </w:rPr>
      <w:tab/>
    </w:r>
    <w:r>
      <w:rPr>
        <w:rFonts w:ascii="Arial" w:hAnsi="Arial" w:eastAsia="Arial" w:cs="Arial"/>
        <w:color w:val="5F6368"/>
        <w:sz w:val="16"/>
      </w:rPr>
      <w:fldChar w:fldCharType="begin"/>
    </w:r>
    <w:r>
      <w:rPr>
        <w:rFonts w:ascii="Arial" w:hAnsi="Arial" w:eastAsia="Arial" w:cs="Arial"/>
        <w:color w:val="5F6368"/>
        <w:sz w:val="16"/>
      </w:rPr>
      <w:instrText xml:space="preserve"> PAGE </w:instrText>
    </w:r>
    <w:r>
      <w:rPr>
        <w:rFonts w:ascii="Arial" w:hAnsi="Arial" w:eastAsia="Arial" w:cs="Arial"/>
        <w:color w:val="5F6368"/>
        <w:sz w:val="16"/>
      </w:rP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1645920" cy="683409"/>
          <wp:docPr id="1" name="Picture 1"/>
          <wp:cNvGraphicFramePr>
            <a:graphicFrameLocks noChangeAspect="1"/>
          </wp:cNvGraphicFramePr>
          <a:graphic>
            <a:graphicData uri="http://schemas.openxmlformats.org/drawingml/2006/picture">
              <pic:pic>
                <pic:nvPicPr>
                  <pic:cNvPr id="0" name="logo.png"/>
                  <pic:cNvPicPr/>
                </pic:nvPicPr>
                <pic:blipFill>
                  <a:blip r:embed="rId1"/>
                  <a:stretch>
                    <a:fillRect/>
                  </a:stretch>
                </pic:blipFill>
                <pic:spPr>
                  <a:xfrm>
                    <a:off x="0" y="0"/>
                    <a:ext cx="1645920" cy="683409"/>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name w:val="mdc-decimal_hierarchical"/>
    <w:multiLevelType w:val="multilevel"/>
    <w:lvl w:ilvl="0">
      <w:start w:val="1"/>
      <w:numFmt w:val="decimal"/>
      <w:lvlText w:val="%1."/>
      <w:lvlJc w:val="left"/>
      <w:pPr>
        <w:tabs>
          <w:tab w:val="num" w:pos="503"/>
        </w:tabs>
        <w:ind w:left="503" w:hanging="360"/>
      </w:pPr>
    </w:lvl>
    <w:lvl w:ilvl="1">
      <w:start w:val="1"/>
      <w:numFmt w:val="decimal"/>
      <w:lvlText w:val="%1.%2"/>
      <w:lvlJc w:val="left"/>
      <w:pPr>
        <w:tabs>
          <w:tab w:val="num" w:pos="1007"/>
        </w:tabs>
        <w:ind w:left="1007" w:hanging="360"/>
      </w:pPr>
    </w:lvl>
    <w:lvl w:ilvl="2">
      <w:start w:val="1"/>
      <w:numFmt w:val="decimal"/>
      <w:lvlText w:val="%1.%2.%3"/>
      <w:lvlJc w:val="left"/>
      <w:pPr>
        <w:tabs>
          <w:tab w:val="num" w:pos="1511"/>
        </w:tabs>
        <w:ind w:left="1511" w:hanging="360"/>
      </w:pPr>
    </w:lvl>
    <w:lvl w:ilvl="3">
      <w:start w:val="1"/>
      <w:numFmt w:val="decimal"/>
      <w:lvlText w:val="%1.%2.%3.%4"/>
      <w:lvlJc w:val="left"/>
      <w:pPr>
        <w:tabs>
          <w:tab w:val="num" w:pos="2015"/>
        </w:tabs>
        <w:ind w:left="2015" w:hanging="360"/>
      </w:pPr>
    </w:lvl>
    <w:lvl w:ilvl="4">
      <w:start w:val="1"/>
      <w:numFmt w:val="decimal"/>
      <w:lvlText w:val="%1.%2.%3.%4.%5"/>
      <w:lvlJc w:val="left"/>
      <w:pPr>
        <w:tabs>
          <w:tab w:val="num" w:pos="2520"/>
        </w:tabs>
        <w:ind w:left="2520" w:hanging="360"/>
      </w:pPr>
    </w:lvl>
    <w:lvl w:ilvl="5">
      <w:start w:val="1"/>
      <w:numFmt w:val="decimal"/>
      <w:lvlText w:val="%1.%2.%3.%4.%5.%6"/>
      <w:lvlJc w:val="left"/>
      <w:pPr>
        <w:tabs>
          <w:tab w:val="num" w:pos="3023"/>
        </w:tabs>
        <w:ind w:left="3023" w:hanging="360"/>
      </w:pPr>
    </w:lvl>
    <w:lvl w:ilvl="6">
      <w:start w:val="1"/>
      <w:numFmt w:val="decimal"/>
      <w:lvlText w:val="%1.%2.%3.%4.%5.%6.%7"/>
      <w:lvlJc w:val="left"/>
      <w:pPr>
        <w:tabs>
          <w:tab w:val="num" w:pos="3527"/>
        </w:tabs>
        <w:ind w:left="3527" w:hanging="360"/>
      </w:pPr>
    </w:lvl>
    <w:lvl w:ilvl="7">
      <w:start w:val="1"/>
      <w:numFmt w:val="decimal"/>
      <w:lvlText w:val="%1.%2.%3.%4.%5.%6.%7.%8"/>
      <w:lvlJc w:val="left"/>
      <w:pPr>
        <w:tabs>
          <w:tab w:val="num" w:pos="4031"/>
        </w:tabs>
        <w:ind w:left="4031" w:hanging="360"/>
      </w:pPr>
    </w:lvl>
    <w:lvl w:ilvl="8">
      <w:start w:val="1"/>
      <w:numFmt w:val="decimal"/>
      <w:lvlText w:val="%1.%2.%3.%4.%5.%6.%7.%8.%9"/>
      <w:lvlJc w:val="left"/>
      <w:pPr>
        <w:tabs>
          <w:tab w:val="num" w:pos="4536"/>
        </w:tabs>
        <w:ind w:left="4536" w:hanging="360"/>
      </w:pPr>
    </w:lvl>
  </w:abstract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olor w:val="2021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areers.goggle.example/candidate-portal" TargetMode="External"/><Relationship Id="rId12" Type="http://schemas.openxmlformats.org/officeDocument/2006/relationships/hyperlink" Target="https://careers.goggle.example/benefits" TargetMode="External"/><Relationship Id="rId13" Type="http://schemas.openxmlformats.org/officeDocument/2006/relationships/image" Target="media/image1.png"/><Relationship Id="rId14" Type="http://schemas.openxmlformats.org/officeDocument/2006/relationships/hyperlink" Target="mailto:maria.rodriguez@goggle.examp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 of Employment</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