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560" w:after="20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Edge Inference Gateway v2</w:t>
      </w:r>
    </w:p>
    <w:p>
      <w:pPr>
        <w:spacing w:before="0" w:after="80" w:line="20" w:lineRule="exact"/>
      </w:pPr>
    </w:p>
    <w:tbl>
      <w:tblPr>
        <w:jc w:val="center"/>
        <w:tblLook w:firstColumn="1" w:firstRow="1" w:lastColumn="0" w:lastRow="0" w:noHBand="0" w:noVBand="1" w:val="04A0"/>
        <w:tblLayout w:type="fixed"/>
        <w:tblW w:w="9647" w:type="dxa"/>
        <w:tblBorders>
          <w:top w:val="single" w:sz="4" w:space="0" w:color="D1D5DB"/>
          <w:left w:val="single" w:sz="4" w:space="0" w:color="D1D5DB"/>
          <w:bottom w:val="single" w:sz="4" w:space="0" w:color="D1D5DB"/>
          <w:right w:val="single" w:sz="4" w:space="0" w:color="D1D5DB"/>
          <w:insideH w:val="single" w:sz="4" w:space="0" w:color="D1D5DB"/>
          <w:insideV w:val="single" w:sz="4" w:space="0" w:color="D1D5DB"/>
        </w:tblBorders>
        <w:tblCellMar>
          <w:top w:w="40" w:type="dxa"/>
          <w:left w:w="80" w:type="dxa"/>
          <w:bottom w:w="40" w:type="dxa"/>
          <w:right w:w="80" w:type="dxa"/>
        </w:tblCellMar>
      </w:tblPr>
      <w:tblGrid>
        <w:gridCol w:w="3215"/>
        <w:gridCol w:w="6432"/>
      </w:tblGrid>
      <w:tr>
        <w:tc>
          <w:tcPr>
            <w:tcW w:w="3215" w:type="dxa"/>
            <w:vAlign w:val="cente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Document owner</w:t>
            </w:r>
          </w:p>
        </w:tc>
        <w:tc>
          <w:tcPr>
            <w:tcW w:w="6432" w:type="dxa"/>
            <w:vAlign w:val="cente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Platform Architecture</w:t>
            </w:r>
          </w:p>
        </w:tc>
      </w:tr>
      <w:tr>
        <w:tc>
          <w:tcPr>
            <w:tcW w:w="3215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Review window</w:t>
            </w:r>
          </w:p>
        </w:tc>
        <w:tc>
          <w:tcPr>
            <w:tcW w:w="6432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March 2026</w:t>
            </w:r>
          </w:p>
        </w:tc>
      </w:tr>
      <w:tr>
        <w:tc>
          <w:tcPr>
            <w:tcW w:w="3215" w:type="dxa"/>
            <w:vAlign w:val="center"/>
            <w:shd w:fill="F8FAFC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Status</w:t>
            </w:r>
          </w:p>
        </w:tc>
        <w:tc>
          <w:tcPr>
            <w:tcW w:w="6432" w:type="dxa"/>
            <w:vAlign w:val="center"/>
            <w:shd w:fill="F8FAFC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Draft for architecture review</w:t>
            </w:r>
          </w:p>
        </w:tc>
      </w:tr>
    </w:tbl>
    <w:p>
      <w:pPr>
        <w:spacing w:before="0" w:after="240" w:line="20" w:lineRule="exact"/>
      </w:pPr>
    </w:p>
    <w:p>
      <w:pPr>
        <w:spacing w:before="40" w:after="200" w:line="293" w:lineRule="auto"/>
        <w:ind w:left="216"/>
        <w:jc w:val="both"/>
        <w:shd w:fill="ECFEFF" w:val="clear"/>
      </w:pPr>
      <w:r>
        <w:rPr>
          <w:rFonts w:ascii="Aptos" w:hAnsi="Aptos" w:eastAsia="Aptos" w:cs="Aptos"/>
          <w:b/>
          <w:i w:val="0"/>
          <w:strike w:val="0"/>
          <w:color w:val="134E4A"/>
          <w:sz w:val="21"/>
        </w:rPr>
        <w:t>This design review proposes a new edge gateway tier for Basethree's LLM inference platform. The goal is to reduce cold-start latency for high-volume chat workloads, isolate noisy tenants before they reach regional control planes, and make rollout decisions easier to audit after Google Docs import.</w:t>
      </w:r>
    </w:p>
    <w:p>
      <w:pPr>
        <w:spacing w:before="440" w:after="16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Design Goals</w:t>
      </w:r>
    </w:p>
    <w:p>
      <w:pPr>
        <w:pStyle w:val="ListBullet"/>
        <w:spacing w:before="4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Reduce p95 first-token latency for interactive traffic without changing the regional serving contract.</w:t>
      </w:r>
    </w:p>
    <w:p>
      <w:pPr>
        <w:pStyle w:val="ListBullet"/>
        <w:spacing w:before="4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 xml:space="preserve">Keep the blast radius bounded when </w:t>
      </w:r>
      <w:r>
        <w:rPr>
          <w:rFonts w:ascii="Menlo" w:hAnsi="Menlo" w:eastAsia="Menlo" w:cs="Menlo"/>
          <w:color w:val="0F172A"/>
          <w:sz w:val="21"/>
        </w:rPr>
        <w:t>edge-router</w:t>
      </w: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 xml:space="preserve"> or </w:t>
      </w:r>
      <w:r>
        <w:rPr>
          <w:rFonts w:ascii="Menlo" w:hAnsi="Menlo" w:eastAsia="Menlo" w:cs="Menlo"/>
          <w:color w:val="0F172A"/>
          <w:sz w:val="21"/>
        </w:rPr>
        <w:t>session-cache</w:t>
      </w: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 xml:space="preserve"> signals degrade.</w:t>
      </w:r>
    </w:p>
    <w:p>
      <w:pPr>
        <w:pStyle w:val="ListBullet"/>
        <w:spacing w:before="4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Make canary decisions legible for reviewers who rely on shared markdown and generated DOCX artifacts.</w:t>
      </w:r>
    </w:p>
    <w:p>
      <w:pPr>
        <w:pStyle w:val="ListBullet"/>
        <w:spacing w:before="4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Preserve a clear fallback path to regional-only routing during the first launch wave.</w:t>
      </w:r>
    </w:p>
    <w:p>
      <w:pPr>
        <w:spacing w:before="440" w:after="16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Non-Goals</w:t>
      </w:r>
    </w:p>
    <w:p>
      <w:pPr>
        <w:pStyle w:val="ListBullet"/>
        <w:spacing w:before="4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We are not replacing the regional control plane in this review.</w:t>
      </w:r>
    </w:p>
    <w:p>
      <w:pPr>
        <w:pStyle w:val="ListBullet"/>
        <w:spacing w:before="4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We are not promising per-tenant dedicated edge clusters in the first release window.</w:t>
      </w:r>
    </w:p>
    <w:p>
      <w:pPr>
        <w:pStyle w:val="ListBullet"/>
        <w:spacing w:before="4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 xml:space="preserve">The earlier </w:t>
      </w:r>
      <w:r>
        <w:rPr>
          <w:rFonts w:ascii="Aptos" w:hAnsi="Aptos" w:eastAsia="Aptos" w:cs="Aptos"/>
          <w:b w:val="0"/>
          <w:i w:val="0"/>
          <w:strike/>
          <w:color w:val="0F172A"/>
          <w:sz w:val="21"/>
        </w:rPr>
        <w:t>global write-through cache</w:t>
      </w: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 xml:space="preserve"> concept remains out of scope for this RFC.</w:t>
      </w:r>
    </w:p>
    <w:p>
      <w:pPr>
        <w:spacing w:before="440" w:after="16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Options Compared</w:t>
      </w:r>
    </w:p>
    <w:p>
      <w:pPr>
        <w:spacing w:before="0" w:after="160" w:line="20" w:lineRule="exact"/>
      </w:pPr>
    </w:p>
    <w:tbl>
      <w:tblPr>
        <w:jc w:val="center"/>
        <w:tblLook w:firstColumn="1" w:firstRow="1" w:lastColumn="0" w:lastRow="0" w:noHBand="0" w:noVBand="1" w:val="04A0"/>
        <w:tblLayout w:type="fixed"/>
        <w:tblW w:w="9647" w:type="dxa"/>
        <w:tblBorders>
          <w:top w:val="single" w:sz="4" w:space="0" w:color="D1D5DB"/>
          <w:left w:val="single" w:sz="4" w:space="0" w:color="D1D5DB"/>
          <w:bottom w:val="single" w:sz="4" w:space="0" w:color="D1D5DB"/>
          <w:right w:val="single" w:sz="4" w:space="0" w:color="D1D5DB"/>
          <w:insideH w:val="single" w:sz="4" w:space="0" w:color="D1D5DB"/>
          <w:insideV w:val="single" w:sz="4" w:space="0" w:color="D1D5DB"/>
        </w:tblBorders>
        <w:tblCellMar>
          <w:top w:w="40" w:type="dxa"/>
          <w:left w:w="80" w:type="dxa"/>
          <w:bottom w:w="40" w:type="dxa"/>
          <w:right w:w="80" w:type="dxa"/>
        </w:tblCellMar>
      </w:tblPr>
      <w:tblGrid>
        <w:gridCol w:w="3617"/>
        <w:gridCol w:w="1205"/>
        <w:gridCol w:w="1205"/>
        <w:gridCol w:w="1205"/>
        <w:gridCol w:w="2415"/>
      </w:tblGrid>
      <w:tr>
        <w:tc>
          <w:tcPr>
            <w:tcW w:w="3617" w:type="dxa"/>
            <w:vAlign w:val="center"/>
            <w:shd w:fill="CCFBF1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Option</w:t>
            </w:r>
          </w:p>
        </w:tc>
        <w:tc>
          <w:tcPr>
            <w:tcW w:w="1205" w:type="dxa"/>
            <w:vAlign w:val="center"/>
            <w:shd w:fill="CCFBF1" w:val="clear"/>
          </w:tcPr>
          <w:p>
            <w:pPr>
              <w:spacing w:before="60" w:after="60"/>
              <w:jc w:val="righ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p95 latency</w:t>
            </w:r>
          </w:p>
        </w:tc>
        <w:tc>
          <w:tcPr>
            <w:tcW w:w="1205" w:type="dxa"/>
            <w:vAlign w:val="center"/>
            <w:shd w:fill="CCFBF1" w:val="clear"/>
          </w:tcPr>
          <w:p>
            <w:pPr>
              <w:spacing w:before="60" w:after="60"/>
              <w:jc w:val="righ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Rollout complexity</w:t>
            </w:r>
          </w:p>
        </w:tc>
        <w:tc>
          <w:tcPr>
            <w:tcW w:w="1205" w:type="dxa"/>
            <w:vAlign w:val="center"/>
            <w:shd w:fill="CCFBF1" w:val="clear"/>
          </w:tcPr>
          <w:p>
            <w:pPr>
              <w:spacing w:before="60" w:after="60"/>
              <w:jc w:val="righ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Failure isolation</w:t>
            </w:r>
          </w:p>
        </w:tc>
        <w:tc>
          <w:tcPr>
            <w:tcW w:w="2415" w:type="dxa"/>
            <w:vAlign w:val="center"/>
            <w:shd w:fill="CCFBF1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Recommendation</w:t>
            </w:r>
          </w:p>
        </w:tc>
      </w:tr>
      <w:tr>
        <w:tc>
          <w:tcPr>
            <w:tcW w:w="3617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Regional-only routing</w:t>
            </w:r>
          </w:p>
        </w:tc>
        <w:tc>
          <w:tcPr>
            <w:tcW w:w="1205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1.00x</w:t>
            </w:r>
          </w:p>
        </w:tc>
        <w:tc>
          <w:tcPr>
            <w:tcW w:w="1205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Low</w:t>
            </w:r>
          </w:p>
        </w:tc>
        <w:tc>
          <w:tcPr>
            <w:tcW w:w="1205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Low</w:t>
            </w:r>
          </w:p>
        </w:tc>
        <w:tc>
          <w:tcPr>
            <w:tcW w:w="2415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Stable baseline, but does not improve user-perceived responsiveness enough</w:t>
            </w:r>
          </w:p>
        </w:tc>
      </w:tr>
      <w:tr>
        <w:tc>
          <w:tcPr>
            <w:tcW w:w="3617" w:type="dxa"/>
            <w:vAlign w:val="center"/>
            <w:shd w:fill="F8FAFC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Edge cache plus regional fallback</w:t>
            </w:r>
          </w:p>
        </w:tc>
        <w:tc>
          <w:tcPr>
            <w:tcW w:w="1205" w:type="dxa"/>
            <w:vAlign w:val="center"/>
            <w:shd w:fill="F8FAFC" w:val="clea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0.72x</w:t>
            </w:r>
          </w:p>
        </w:tc>
        <w:tc>
          <w:tcPr>
            <w:tcW w:w="1205" w:type="dxa"/>
            <w:vAlign w:val="center"/>
            <w:shd w:fill="F8FAFC" w:val="clea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Medium</w:t>
            </w:r>
          </w:p>
        </w:tc>
        <w:tc>
          <w:tcPr>
            <w:tcW w:w="1205" w:type="dxa"/>
            <w:vAlign w:val="center"/>
            <w:shd w:fill="F8FAFC" w:val="clea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High</w:t>
            </w:r>
          </w:p>
        </w:tc>
        <w:tc>
          <w:tcPr>
            <w:tcW w:w="2415" w:type="dxa"/>
            <w:vAlign w:val="center"/>
            <w:shd w:fill="F8FAFC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Recommended default for interactive chat traffic</w:t>
            </w:r>
          </w:p>
        </w:tc>
      </w:tr>
      <w:tr>
        <w:tc>
          <w:tcPr>
            <w:tcW w:w="3617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Dedicated per-tenant edge clusters</w:t>
            </w:r>
          </w:p>
        </w:tc>
        <w:tc>
          <w:tcPr>
            <w:tcW w:w="1205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0.64x</w:t>
            </w:r>
          </w:p>
        </w:tc>
        <w:tc>
          <w:tcPr>
            <w:tcW w:w="1205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High</w:t>
            </w:r>
          </w:p>
        </w:tc>
        <w:tc>
          <w:tcPr>
            <w:tcW w:w="1205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Medium</w:t>
            </w:r>
          </w:p>
        </w:tc>
        <w:tc>
          <w:tcPr>
            <w:tcW w:w="2415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Too expensive and operationally noisy for the first release window</w:t>
            </w:r>
          </w:p>
        </w:tc>
      </w:tr>
    </w:tbl>
    <w:p>
      <w:pPr>
        <w:spacing w:before="0" w:after="240" w:line="20" w:lineRule="exact"/>
      </w:pPr>
    </w:p>
    <w:p>
      <w:pPr>
        <w:spacing w:before="440" w:after="16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Canary Rollout Plan</w:t>
      </w:r>
    </w:p>
    <w:p>
      <w:pPr>
        <w:spacing w:before="0" w:after="120" w:line="293" w:lineRule="auto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The rollout plan is intentionally written as a nested operational checklist so reviewers can validate both structure and traceability in the generated document.</w:t>
      </w:r>
    </w:p>
    <w:p>
      <w:pPr>
        <w:pStyle w:val="ListNumber"/>
        <w:numPr>
          <w:ilvl w:val="0"/>
          <w:numId w:val="10"/>
        </w:numPr>
        <w:spacing w:before="12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Control plane readiness</w:t>
      </w:r>
    </w:p>
    <w:p>
      <w:pPr>
        <w:pStyle w:val="ListBullet2"/>
        <w:spacing w:before="40" w:after="120" w:line="293" w:lineRule="auto"/>
        <w:ind w:left="1008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Validate tenant routing tags, rollout labels, and reviewer metadata.</w:t>
      </w:r>
    </w:p>
    <w:p>
      <w:pPr>
        <w:pStyle w:val="ListBullet2"/>
        <w:spacing w:before="40" w:after="120" w:line="293" w:lineRule="auto"/>
        <w:ind w:left="1008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Freeze routing-config churn for the final 24 hours before the canary begins.</w:t>
      </w:r>
    </w:p>
    <w:p>
      <w:pPr>
        <w:pStyle w:val="ListContinue"/>
        <w:spacing w:before="40" w:after="120" w:line="293" w:lineRule="auto"/>
        <w:ind w:left="533"/>
        <w:jc w:val="both"/>
        <w:shd w:fill="FFF7ED" w:val="clear"/>
      </w:pPr>
      <w:r>
        <w:rPr>
          <w:rFonts w:ascii="Aptos" w:hAnsi="Aptos" w:eastAsia="Aptos" w:cs="Aptos"/>
          <w:b/>
          <w:i w:val="0"/>
          <w:strike w:val="0"/>
          <w:color w:val="9A3412"/>
          <w:sz w:val="21"/>
        </w:rPr>
        <w:t>If reviewer annotations are missing from the weekly change log, stop here and do not expand the canary.</w:t>
      </w:r>
    </w:p>
    <w:p>
      <w:pPr>
        <w:spacing w:before="0" w:after="120" w:line="20" w:lineRule="exact"/>
      </w:pPr>
    </w:p>
    <w:tbl>
      <w:tblPr>
        <w:jc w:val="center"/>
        <w:tblLook w:firstColumn="1" w:firstRow="1" w:lastColumn="0" w:lastRow="0" w:noHBand="0" w:noVBand="1" w:val="04A0"/>
        <w:tblLayout w:type="fixed"/>
        <w:tblW w:w="9647" w:type="dxa"/>
        <w:tblBorders>
          <w:top w:val="single" w:sz="4" w:space="0" w:color="D1D5DB"/>
          <w:left w:val="single" w:sz="4" w:space="0" w:color="D1D5DB"/>
          <w:bottom w:val="single" w:sz="4" w:space="0" w:color="D1D5DB"/>
          <w:right w:val="single" w:sz="4" w:space="0" w:color="D1D5DB"/>
          <w:insideH w:val="single" w:sz="4" w:space="0" w:color="D1D5DB"/>
          <w:insideV w:val="single" w:sz="4" w:space="0" w:color="D1D5DB"/>
        </w:tblBorders>
        <w:tblCellMar>
          <w:top w:w="40" w:type="dxa"/>
          <w:left w:w="80" w:type="dxa"/>
          <w:bottom w:w="40" w:type="dxa"/>
          <w:right w:w="80" w:type="dxa"/>
        </w:tblCellMar>
      </w:tblPr>
      <w:tblGrid>
        <w:gridCol w:w="4823"/>
        <w:gridCol w:w="2411"/>
        <w:gridCol w:w="2413"/>
      </w:tblGrid>
      <w:tr>
        <w:tc>
          <w:tcPr>
            <w:tcW w:w="4823" w:type="dxa"/>
            <w:vAlign w:val="center"/>
            <w:shd w:fill="E0F2FE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Gate</w:t>
            </w:r>
          </w:p>
        </w:tc>
        <w:tc>
          <w:tcPr>
            <w:tcW w:w="2411" w:type="dxa"/>
            <w:vAlign w:val="center"/>
            <w:shd w:fill="E0F2FE" w:val="clear"/>
          </w:tcPr>
          <w:p>
            <w:pPr>
              <w:spacing w:before="60" w:after="60"/>
              <w:jc w:val="righ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Threshold</w:t>
            </w:r>
          </w:p>
        </w:tc>
        <w:tc>
          <w:tcPr>
            <w:tcW w:w="2413" w:type="dxa"/>
            <w:vAlign w:val="center"/>
            <w:shd w:fill="E0F2FE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Primary owner</w:t>
            </w:r>
          </w:p>
        </w:tc>
      </w:tr>
      <w:tr>
        <w:tc>
          <w:tcPr>
            <w:tcW w:w="4823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Gateway 5xx rate</w:t>
            </w:r>
          </w:p>
        </w:tc>
        <w:tc>
          <w:tcPr>
            <w:tcW w:w="2411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&lt; 0.5%</w:t>
            </w:r>
          </w:p>
        </w:tc>
        <w:tc>
          <w:tcPr>
            <w:tcW w:w="2413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Inference</w:t>
            </w:r>
          </w:p>
        </w:tc>
      </w:tr>
      <w:tr>
        <w:tc>
          <w:tcPr>
            <w:tcW w:w="4823" w:type="dxa"/>
            <w:vAlign w:val="center"/>
            <w:shd w:fill="F8FAFC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p95 TTFT</w:t>
            </w:r>
          </w:p>
        </w:tc>
        <w:tc>
          <w:tcPr>
            <w:tcW w:w="2411" w:type="dxa"/>
            <w:vAlign w:val="center"/>
            <w:shd w:fill="F8FAFC" w:val="clea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&lt; 750 ms</w:t>
            </w:r>
          </w:p>
        </w:tc>
        <w:tc>
          <w:tcPr>
            <w:tcW w:w="2413" w:type="dxa"/>
            <w:vAlign w:val="center"/>
            <w:shd w:fill="F8FAFC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Platform</w:t>
            </w:r>
          </w:p>
        </w:tc>
      </w:tr>
      <w:tr>
        <w:tc>
          <w:tcPr>
            <w:tcW w:w="4823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Audit tag coverage</w:t>
            </w:r>
          </w:p>
        </w:tc>
        <w:tc>
          <w:tcPr>
            <w:tcW w:w="2411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100%</w:t>
            </w:r>
          </w:p>
        </w:tc>
        <w:tc>
          <w:tcPr>
            <w:tcW w:w="2413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Developer Productivity</w:t>
            </w:r>
          </w:p>
        </w:tc>
      </w:tr>
    </w:tbl>
    <w:p>
      <w:pPr>
        <w:spacing w:before="0" w:after="200" w:line="20" w:lineRule="exact"/>
      </w:pPr>
    </w:p>
    <w:p>
      <w:pPr>
        <w:pStyle w:val="ListNumber"/>
        <w:numPr>
          <w:ilvl w:val="0"/>
          <w:numId w:val="10"/>
        </w:numPr>
        <w:spacing w:before="12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Enterprise canary</w:t>
      </w:r>
    </w:p>
    <w:p>
      <w:pPr>
        <w:pStyle w:val="ListNumber2"/>
        <w:numPr>
          <w:ilvl w:val="1"/>
          <w:numId w:val="10"/>
        </w:numPr>
        <w:spacing w:before="40" w:after="120" w:line="293" w:lineRule="auto"/>
        <w:ind w:left="1008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Cohort selection</w:t>
      </w:r>
    </w:p>
    <w:p>
      <w:pPr>
        <w:pStyle w:val="ListBullet3"/>
        <w:spacing w:before="40" w:after="120" w:line="293" w:lineRule="auto"/>
        <w:ind w:left="1512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Pick one low-variance tenant cohort with predictable request shapes.</w:t>
      </w:r>
    </w:p>
    <w:p>
      <w:pPr>
        <w:pStyle w:val="ListBullet3"/>
        <w:spacing w:before="40" w:after="120" w:line="293" w:lineRule="auto"/>
        <w:ind w:left="1512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Keep one opt-out route pointed at the regional baseline.</w:t>
      </w:r>
    </w:p>
    <w:p>
      <w:pPr>
        <w:pStyle w:val="ListNumber2"/>
        <w:numPr>
          <w:ilvl w:val="1"/>
          <w:numId w:val="10"/>
        </w:numPr>
        <w:spacing w:before="40" w:after="120" w:line="293" w:lineRule="auto"/>
        <w:ind w:left="1008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Regional burn-in</w:t>
      </w:r>
    </w:p>
    <w:p>
      <w:pPr>
        <w:pStyle w:val="ListBullet3"/>
        <w:spacing w:before="40" w:after="120" w:line="293" w:lineRule="auto"/>
        <w:ind w:left="1512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Observe latency, cache churn, and rollback frequency for three business days.</w:t>
      </w:r>
    </w:p>
    <w:p>
      <w:pPr>
        <w:pStyle w:val="ListBullet3"/>
        <w:spacing w:before="40" w:after="120" w:line="293" w:lineRule="auto"/>
        <w:ind w:left="1512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 xml:space="preserve">Record every routing override in the </w:t>
      </w:r>
      <w:hyperlink r:id="rId11">
        <w:r>
          <w:rPr>
            <w:rFonts w:ascii="Aptos" w:hAnsi="Aptos" w:eastAsia="Aptos" w:cs="Aptos"/>
            <w:b w:val="0"/>
            <w:i w:val="0"/>
            <w:strike w:val="0"/>
            <w:color w:val="0F766E"/>
            <w:sz w:val="21"/>
            <w:u w:val="single"/>
          </w:rPr>
          <w:t>incident playbook</w:t>
        </w:r>
      </w:hyperlink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.</w:t>
      </w:r>
    </w:p>
    <w:p>
      <w:pPr>
        <w:pStyle w:val="ListNumber"/>
        <w:numPr>
          <w:ilvl w:val="0"/>
          <w:numId w:val="10"/>
        </w:numPr>
        <w:spacing w:before="12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General rollout</w:t>
      </w:r>
    </w:p>
    <w:p>
      <w:pPr>
        <w:pStyle w:val="ListBullet2"/>
        <w:spacing w:before="40" w:after="120" w:line="293" w:lineRule="auto"/>
        <w:ind w:left="1008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Expand to broader traffic only after the review committee signs off on the canary notes.</w:t>
      </w:r>
    </w:p>
    <w:p>
      <w:pPr>
        <w:pStyle w:val="ListBullet2"/>
        <w:spacing w:before="40" w:after="120" w:line="293" w:lineRule="auto"/>
        <w:ind w:left="1008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Keep one emergency switch for immediate regional-only routing.</w:t>
      </w:r>
    </w:p>
    <w:p>
      <w:pPr>
        <w:spacing w:before="160" w:after="160"/>
        <w:ind w:left="360"/>
        <w:pBdr>
          <w:left w:val="single" w:sz="12" w:space="8" w:color="14B8A6"/>
        </w:pBdr>
      </w:pPr>
      <w:r>
        <w:rPr>
          <w:rFonts w:ascii="Aptos" w:hAnsi="Aptos" w:eastAsia="Aptos" w:cs="Aptos"/>
          <w:b w:val="0"/>
          <w:i/>
          <w:strike w:val="0"/>
          <w:color w:val="115E59"/>
          <w:sz w:val="21"/>
        </w:rPr>
        <w:t>Reviewer note: prefer predictable rollback behavior over maximum cache hit rate during the first two launch waves.</w:t>
      </w:r>
    </w:p>
    <w:p>
      <w:pPr>
        <w:spacing w:before="440" w:after="16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Example Edge Policy</w:t>
      </w:r>
    </w:p>
    <w:p>
      <w:pPr>
        <w:spacing w:before="160" w:after="200" w:line="276" w:lineRule="auto"/>
        <w:shd w:fill="134E4A" w:val="clear"/>
      </w:pPr>
      <w:r>
        <w:rPr>
          <w:rFonts w:ascii="Menlo" w:hAnsi="Menlo" w:eastAsia="Menlo" w:cs="Menlo"/>
          <w:color w:val="F0FDFA"/>
          <w:sz w:val="19"/>
        </w:rPr>
        <w:t>router:</w:t>
        <w:br/>
        <w:t xml:space="preserve">  mode: edge-first</w:t>
        <w:br/>
        <w:t xml:space="preserve">  fallback: regional-only</w:t>
        <w:br/>
        <w:t xml:space="preserve">  cache:</w:t>
        <w:br/>
        <w:t xml:space="preserve">    strategy: session-aware</w:t>
        <w:br/>
        <w:t xml:space="preserve">    ttl_seconds: 90</w:t>
        <w:br/>
        <w:t xml:space="preserve">  rollback:</w:t>
        <w:br/>
        <w:t xml:space="preserve">    trigger: p95_ttft_ms &gt; 750 or gateway_5xx_rate &gt; 0.5%</w:t>
      </w:r>
    </w:p>
    <w:p>
      <w:pPr>
        <w:spacing w:before="440" w:after="16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Rollback Drill</w:t>
      </w:r>
    </w:p>
    <w:p>
      <w:pPr>
        <w:spacing w:before="160" w:after="240" w:line="276" w:lineRule="auto"/>
        <w:shd w:fill="0F172A" w:val="clear"/>
      </w:pPr>
      <w:r>
        <w:rPr>
          <w:rFonts w:ascii="Menlo" w:hAnsi="Menlo" w:eastAsia="Menlo" w:cs="Menlo"/>
          <w:color w:val="E2E8F0"/>
          <w:sz w:val="19"/>
        </w:rPr>
        <w:t>basethree rollout status edge-gateway-v2</w:t>
        <w:br/>
        <w:t>basethree rollout shift edge-gateway-v2 --mode regional-only</w:t>
        <w:br/>
        <w:t>basethree alerts ack inference/edge-gateway</w:t>
      </w:r>
    </w:p>
    <w:p>
      <w:pPr>
        <w:spacing w:before="440" w:after="16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API Surface Proposal</w:t>
      </w:r>
    </w:p>
    <w:p>
      <w:pPr>
        <w:spacing w:before="0" w:after="120" w:line="293" w:lineRule="auto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The edge gateway should be legible not only as infrastructure, but also as a public-facing API surface that product teams can integrate with directly.</w:t>
      </w:r>
    </w:p>
    <w:p>
      <w:pPr>
        <w:spacing w:before="0" w:after="160" w:line="20" w:lineRule="exact"/>
      </w:pPr>
    </w:p>
    <w:tbl>
      <w:tblPr>
        <w:jc w:val="center"/>
        <w:tblLook w:firstColumn="1" w:firstRow="1" w:lastColumn="0" w:lastRow="0" w:noHBand="0" w:noVBand="1" w:val="04A0"/>
        <w:tblLayout w:type="fixed"/>
        <w:tblW w:w="9647" w:type="dxa"/>
        <w:tblBorders>
          <w:top w:val="single" w:sz="4" w:space="0" w:color="D1D5DB"/>
          <w:left w:val="single" w:sz="4" w:space="0" w:color="D1D5DB"/>
          <w:bottom w:val="single" w:sz="4" w:space="0" w:color="D1D5DB"/>
          <w:right w:val="single" w:sz="4" w:space="0" w:color="D1D5DB"/>
          <w:insideH w:val="single" w:sz="4" w:space="0" w:color="D1D5DB"/>
          <w:insideV w:val="single" w:sz="4" w:space="0" w:color="D1D5DB"/>
        </w:tblBorders>
        <w:tblCellMar>
          <w:top w:w="40" w:type="dxa"/>
          <w:left w:w="80" w:type="dxa"/>
          <w:bottom w:w="40" w:type="dxa"/>
          <w:right w:w="80" w:type="dxa"/>
        </w:tblCellMar>
      </w:tblPr>
      <w:tblGrid>
        <w:gridCol w:w="3617"/>
        <w:gridCol w:w="1205"/>
        <w:gridCol w:w="3617"/>
        <w:gridCol w:w="1208"/>
      </w:tblGrid>
      <w:tr>
        <w:tc>
          <w:tcPr>
            <w:tcW w:w="3617" w:type="dxa"/>
            <w:vAlign w:val="center"/>
            <w:shd w:fill="ECFCCB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Endpoint</w:t>
            </w:r>
          </w:p>
        </w:tc>
        <w:tc>
          <w:tcPr>
            <w:tcW w:w="1205" w:type="dxa"/>
            <w:vAlign w:val="center"/>
            <w:shd w:fill="ECFCCB" w:val="clear"/>
          </w:tcPr>
          <w:p>
            <w:pPr>
              <w:spacing w:before="60" w:after="60"/>
              <w:jc w:val="center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Method</w:t>
            </w:r>
          </w:p>
        </w:tc>
        <w:tc>
          <w:tcPr>
            <w:tcW w:w="3617" w:type="dxa"/>
            <w:vAlign w:val="center"/>
            <w:shd w:fill="ECFCCB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Purpose</w:t>
            </w:r>
          </w:p>
        </w:tc>
        <w:tc>
          <w:tcPr>
            <w:tcW w:w="1208" w:type="dxa"/>
            <w:vAlign w:val="center"/>
            <w:shd w:fill="ECFCCB" w:val="clear"/>
          </w:tcPr>
          <w:p>
            <w:pPr>
              <w:spacing w:before="60" w:after="60"/>
              <w:jc w:val="righ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Auth</w:t>
            </w:r>
          </w:p>
        </w:tc>
      </w:tr>
      <w:tr>
        <w:tc>
          <w:tcPr>
            <w:tcW w:w="3617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Menlo" w:hAnsi="Menlo" w:eastAsia="Menlo" w:cs="Menlo"/>
                <w:color w:val="0F172A"/>
                <w:sz w:val="21"/>
              </w:rPr>
              <w:t>/v2/chat/completions</w:t>
            </w:r>
          </w:p>
        </w:tc>
        <w:tc>
          <w:tcPr>
            <w:tcW w:w="1205" w:type="dxa"/>
            <w:vAlign w:val="center"/>
          </w:tcPr>
          <w:p>
            <w:pPr>
              <w:spacing w:before="40" w:after="40"/>
              <w:jc w:val="center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POST</w:t>
            </w:r>
          </w:p>
        </w:tc>
        <w:tc>
          <w:tcPr>
            <w:tcW w:w="3617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Session-aware chat inference with optional edge caching</w:t>
            </w:r>
          </w:p>
        </w:tc>
        <w:tc>
          <w:tcPr>
            <w:tcW w:w="1208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API key</w:t>
            </w:r>
          </w:p>
        </w:tc>
      </w:tr>
      <w:tr>
        <w:tc>
          <w:tcPr>
            <w:tcW w:w="3617" w:type="dxa"/>
            <w:vAlign w:val="center"/>
            <w:shd w:fill="F7FEE7" w:val="clear"/>
          </w:tcPr>
          <w:p>
            <w:pPr>
              <w:spacing w:before="40" w:after="40"/>
              <w:jc w:val="left"/>
            </w:pPr>
            <w:r>
              <w:rPr>
                <w:rFonts w:ascii="Menlo" w:hAnsi="Menlo" w:eastAsia="Menlo" w:cs="Menlo"/>
                <w:color w:val="0F172A"/>
                <w:sz w:val="21"/>
              </w:rPr>
              <w:t>/v2/responses/{id}</w:t>
            </w:r>
          </w:p>
        </w:tc>
        <w:tc>
          <w:tcPr>
            <w:tcW w:w="1205" w:type="dxa"/>
            <w:vAlign w:val="center"/>
            <w:shd w:fill="F7FEE7" w:val="clear"/>
          </w:tcPr>
          <w:p>
            <w:pPr>
              <w:spacing w:before="40" w:after="40"/>
              <w:jc w:val="center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GET</w:t>
            </w:r>
          </w:p>
        </w:tc>
        <w:tc>
          <w:tcPr>
            <w:tcW w:w="3617" w:type="dxa"/>
            <w:vAlign w:val="center"/>
            <w:shd w:fill="F7FEE7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Fetch a previously created response by identifier</w:t>
            </w:r>
          </w:p>
        </w:tc>
        <w:tc>
          <w:tcPr>
            <w:tcW w:w="1208" w:type="dxa"/>
            <w:vAlign w:val="center"/>
            <w:shd w:fill="F7FEE7" w:val="clea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API key</w:t>
            </w:r>
          </w:p>
        </w:tc>
      </w:tr>
      <w:tr>
        <w:tc>
          <w:tcPr>
            <w:tcW w:w="3617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Menlo" w:hAnsi="Menlo" w:eastAsia="Menlo" w:cs="Menlo"/>
                <w:color w:val="0F172A"/>
                <w:sz w:val="21"/>
              </w:rPr>
              <w:t>/v2/models</w:t>
            </w:r>
          </w:p>
        </w:tc>
        <w:tc>
          <w:tcPr>
            <w:tcW w:w="1205" w:type="dxa"/>
            <w:vAlign w:val="center"/>
          </w:tcPr>
          <w:p>
            <w:pPr>
              <w:spacing w:before="40" w:after="40"/>
              <w:jc w:val="center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GET</w:t>
            </w:r>
          </w:p>
        </w:tc>
        <w:tc>
          <w:tcPr>
            <w:tcW w:w="3617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Enumerate deployable model IDs and rollout metadata</w:t>
            </w:r>
          </w:p>
        </w:tc>
        <w:tc>
          <w:tcPr>
            <w:tcW w:w="1208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API key</w:t>
            </w:r>
          </w:p>
        </w:tc>
      </w:tr>
    </w:tbl>
    <w:p>
      <w:pPr>
        <w:spacing w:before="0" w:after="240" w:line="20" w:lineRule="exact"/>
      </w:pPr>
    </w:p>
    <w:p>
      <w:pPr>
        <w:spacing w:before="320" w:after="12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Request Fields</w:t>
      </w:r>
    </w:p>
    <w:p>
      <w:pPr>
        <w:spacing w:before="0" w:after="160" w:line="20" w:lineRule="exact"/>
      </w:pPr>
    </w:p>
    <w:tbl>
      <w:tblPr>
        <w:jc w:val="center"/>
        <w:tblLook w:firstColumn="1" w:firstRow="1" w:lastColumn="0" w:lastRow="0" w:noHBand="0" w:noVBand="1" w:val="04A0"/>
        <w:tblLayout w:type="fixed"/>
        <w:tblW w:w="9647" w:type="dxa"/>
        <w:tblBorders>
          <w:top w:val="single" w:sz="4" w:space="0" w:color="D1D5DB"/>
          <w:left w:val="single" w:sz="4" w:space="0" w:color="D1D5DB"/>
          <w:bottom w:val="single" w:sz="4" w:space="0" w:color="D1D5DB"/>
          <w:right w:val="single" w:sz="4" w:space="0" w:color="D1D5DB"/>
          <w:insideH w:val="single" w:sz="4" w:space="0" w:color="D1D5DB"/>
          <w:insideV w:val="single" w:sz="4" w:space="0" w:color="D1D5DB"/>
        </w:tblBorders>
        <w:tblCellMar>
          <w:top w:w="40" w:type="dxa"/>
          <w:left w:w="80" w:type="dxa"/>
          <w:bottom w:w="40" w:type="dxa"/>
          <w:right w:w="80" w:type="dxa"/>
        </w:tblCellMar>
      </w:tblPr>
      <w:tblGrid>
        <w:gridCol w:w="2756"/>
        <w:gridCol w:w="1378"/>
        <w:gridCol w:w="1378"/>
        <w:gridCol w:w="4135"/>
      </w:tblGrid>
      <w:tr>
        <w:tc>
          <w:tcPr>
            <w:tcW w:w="2756" w:type="dxa"/>
            <w:vAlign w:val="center"/>
            <w:shd w:fill="F5F3FF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Field</w:t>
            </w:r>
          </w:p>
        </w:tc>
        <w:tc>
          <w:tcPr>
            <w:tcW w:w="1378" w:type="dxa"/>
            <w:vAlign w:val="center"/>
            <w:shd w:fill="F5F3FF" w:val="clear"/>
          </w:tcPr>
          <w:p>
            <w:pPr>
              <w:spacing w:before="60" w:after="60"/>
              <w:jc w:val="center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Required</w:t>
            </w:r>
          </w:p>
        </w:tc>
        <w:tc>
          <w:tcPr>
            <w:tcW w:w="1378" w:type="dxa"/>
            <w:vAlign w:val="center"/>
            <w:shd w:fill="F5F3FF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Type</w:t>
            </w:r>
          </w:p>
        </w:tc>
        <w:tc>
          <w:tcPr>
            <w:tcW w:w="4135" w:type="dxa"/>
            <w:vAlign w:val="center"/>
            <w:shd w:fill="F5F3FF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Notes</w:t>
            </w:r>
          </w:p>
        </w:tc>
      </w:tr>
      <w:tr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Menlo" w:hAnsi="Menlo" w:eastAsia="Menlo" w:cs="Menlo"/>
                <w:color w:val="0F172A"/>
                <w:sz w:val="21"/>
              </w:rPr>
              <w:t>model</w:t>
            </w:r>
          </w:p>
        </w:tc>
        <w:tc>
          <w:tcPr>
            <w:tcW w:w="1378" w:type="dxa"/>
            <w:vAlign w:val="center"/>
          </w:tcPr>
          <w:p>
            <w:pPr>
              <w:spacing w:before="40" w:after="40"/>
              <w:jc w:val="center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yes</w:t>
            </w:r>
          </w:p>
        </w:tc>
        <w:tc>
          <w:tcPr>
            <w:tcW w:w="1378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string</w:t>
            </w:r>
          </w:p>
        </w:tc>
        <w:tc>
          <w:tcPr>
            <w:tcW w:w="4135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Must match a model that is enabled in the tenant's rollout policy</w:t>
            </w:r>
          </w:p>
        </w:tc>
      </w:tr>
      <w:tr>
        <w:tc>
          <w:tcPr>
            <w:tcW w:w="2756" w:type="dxa"/>
            <w:vAlign w:val="center"/>
            <w:shd w:fill="FAF5FF" w:val="clear"/>
          </w:tcPr>
          <w:p>
            <w:pPr>
              <w:spacing w:before="40" w:after="40"/>
              <w:jc w:val="left"/>
            </w:pPr>
            <w:r>
              <w:rPr>
                <w:rFonts w:ascii="Menlo" w:hAnsi="Menlo" w:eastAsia="Menlo" w:cs="Menlo"/>
                <w:color w:val="0F172A"/>
                <w:sz w:val="21"/>
              </w:rPr>
              <w:t>messages</w:t>
            </w:r>
          </w:p>
        </w:tc>
        <w:tc>
          <w:tcPr>
            <w:tcW w:w="1378" w:type="dxa"/>
            <w:vAlign w:val="center"/>
            <w:shd w:fill="FAF5FF" w:val="clear"/>
          </w:tcPr>
          <w:p>
            <w:pPr>
              <w:spacing w:before="40" w:after="40"/>
              <w:jc w:val="center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yes</w:t>
            </w:r>
          </w:p>
        </w:tc>
        <w:tc>
          <w:tcPr>
            <w:tcW w:w="1378" w:type="dxa"/>
            <w:vAlign w:val="center"/>
            <w:shd w:fill="FAF5FF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array</w:t>
            </w:r>
          </w:p>
        </w:tc>
        <w:tc>
          <w:tcPr>
            <w:tcW w:w="4135" w:type="dxa"/>
            <w:vAlign w:val="center"/>
            <w:shd w:fill="FAF5FF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Ordered chat messages passed to the gateway</w:t>
            </w:r>
          </w:p>
        </w:tc>
      </w:tr>
      <w:tr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Menlo" w:hAnsi="Menlo" w:eastAsia="Menlo" w:cs="Menlo"/>
                <w:color w:val="0F172A"/>
                <w:sz w:val="21"/>
              </w:rPr>
              <w:t>metadata.trace_id</w:t>
            </w:r>
          </w:p>
        </w:tc>
        <w:tc>
          <w:tcPr>
            <w:tcW w:w="1378" w:type="dxa"/>
            <w:vAlign w:val="center"/>
          </w:tcPr>
          <w:p>
            <w:pPr>
              <w:spacing w:before="40" w:after="40"/>
              <w:jc w:val="center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no</w:t>
            </w:r>
          </w:p>
        </w:tc>
        <w:tc>
          <w:tcPr>
            <w:tcW w:w="1378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string</w:t>
            </w:r>
          </w:p>
        </w:tc>
        <w:tc>
          <w:tcPr>
            <w:tcW w:w="4135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Helps support teams correlate edge decisions with logs</w:t>
            </w:r>
          </w:p>
        </w:tc>
      </w:tr>
      <w:tr>
        <w:tc>
          <w:tcPr>
            <w:tcW w:w="2756" w:type="dxa"/>
            <w:vAlign w:val="center"/>
            <w:shd w:fill="FAF5FF" w:val="clear"/>
          </w:tcPr>
          <w:p>
            <w:pPr>
              <w:spacing w:before="40" w:after="40"/>
              <w:jc w:val="left"/>
            </w:pPr>
            <w:r>
              <w:rPr>
                <w:rFonts w:ascii="Menlo" w:hAnsi="Menlo" w:eastAsia="Menlo" w:cs="Menlo"/>
                <w:color w:val="0F172A"/>
                <w:sz w:val="21"/>
              </w:rPr>
              <w:t>cache_control.mode</w:t>
            </w:r>
          </w:p>
        </w:tc>
        <w:tc>
          <w:tcPr>
            <w:tcW w:w="1378" w:type="dxa"/>
            <w:vAlign w:val="center"/>
            <w:shd w:fill="FAF5FF" w:val="clear"/>
          </w:tcPr>
          <w:p>
            <w:pPr>
              <w:spacing w:before="40" w:after="40"/>
              <w:jc w:val="center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no</w:t>
            </w:r>
          </w:p>
        </w:tc>
        <w:tc>
          <w:tcPr>
            <w:tcW w:w="1378" w:type="dxa"/>
            <w:vAlign w:val="center"/>
            <w:shd w:fill="FAF5FF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string</w:t>
            </w:r>
          </w:p>
        </w:tc>
        <w:tc>
          <w:tcPr>
            <w:tcW w:w="4135" w:type="dxa"/>
            <w:vAlign w:val="center"/>
            <w:shd w:fill="FAF5FF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 xml:space="preserve">Accepts </w:t>
            </w:r>
            <w:r>
              <w:rPr>
                <w:rFonts w:ascii="Menlo" w:hAnsi="Menlo" w:eastAsia="Menlo" w:cs="Menlo"/>
                <w:color w:val="0F172A"/>
                <w:sz w:val="21"/>
              </w:rPr>
              <w:t>prefer-cache</w:t>
            </w: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 xml:space="preserve">, </w:t>
            </w:r>
            <w:r>
              <w:rPr>
                <w:rFonts w:ascii="Menlo" w:hAnsi="Menlo" w:eastAsia="Menlo" w:cs="Menlo"/>
                <w:color w:val="0F172A"/>
                <w:sz w:val="21"/>
              </w:rPr>
              <w:t>bypass</w:t>
            </w: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 xml:space="preserve">, or </w:t>
            </w:r>
            <w:r>
              <w:rPr>
                <w:rFonts w:ascii="Menlo" w:hAnsi="Menlo" w:eastAsia="Menlo" w:cs="Menlo"/>
                <w:color w:val="0F172A"/>
                <w:sz w:val="21"/>
              </w:rPr>
              <w:t>inherit</w:t>
            </w:r>
          </w:p>
        </w:tc>
      </w:tr>
    </w:tbl>
    <w:p>
      <w:pPr>
        <w:spacing w:before="0" w:after="240" w:line="20" w:lineRule="exact"/>
      </w:pPr>
    </w:p>
    <w:p>
      <w:pPr>
        <w:spacing w:before="320" w:after="12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Example Request</w:t>
      </w:r>
    </w:p>
    <w:p>
      <w:pPr>
        <w:spacing w:before="160" w:after="200" w:line="276" w:lineRule="auto"/>
        <w:shd w:fill="082F49" w:val="clear"/>
      </w:pPr>
      <w:r>
        <w:rPr>
          <w:rFonts w:ascii="Menlo" w:hAnsi="Menlo" w:eastAsia="Menlo" w:cs="Menlo"/>
          <w:color w:val="E0F2FE"/>
          <w:sz w:val="19"/>
        </w:rPr>
        <w:t>{</w:t>
        <w:br/>
        <w:t xml:space="preserve">  "model": "bt-reasoner-2",</w:t>
        <w:br/>
        <w:t xml:space="preserve">  "messages": [</w:t>
        <w:br/>
        <w:t xml:space="preserve">    {"role": "system", "content": "You are a routing-aware assistant."},</w:t>
        <w:br/>
        <w:t xml:space="preserve">    {"role": "user", "content": "Summarize the latest latency regression."}</w:t>
        <w:br/>
        <w:t xml:space="preserve">  ],</w:t>
        <w:br/>
        <w:t xml:space="preserve">  "metadata": {</w:t>
        <w:br/>
        <w:t xml:space="preserve">    "trace_id": "trace_01hzy0example"</w:t>
        <w:br/>
        <w:t xml:space="preserve">  },</w:t>
        <w:br/>
        <w:t xml:space="preserve">  "cache_control": {</w:t>
        <w:br/>
        <w:t xml:space="preserve">    "mode": "prefer-cache"</w:t>
        <w:br/>
        <w:t xml:space="preserve">  }</w:t>
        <w:br/>
        <w:t>}</w:t>
      </w:r>
    </w:p>
    <w:p>
      <w:pPr>
        <w:spacing w:before="320" w:after="12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Example Response</w:t>
      </w:r>
    </w:p>
    <w:p>
      <w:pPr>
        <w:spacing w:before="160" w:after="200" w:line="276" w:lineRule="auto"/>
        <w:shd w:fill="1E293B" w:val="clear"/>
      </w:pPr>
      <w:r>
        <w:rPr>
          <w:rFonts w:ascii="Menlo" w:hAnsi="Menlo" w:eastAsia="Menlo" w:cs="Menlo"/>
          <w:color w:val="E2E8F0"/>
          <w:sz w:val="19"/>
        </w:rPr>
        <w:t>{</w:t>
        <w:br/>
        <w:t xml:space="preserve">  "id": "resp_01hzy0example",</w:t>
        <w:br/>
        <w:t xml:space="preserve">  "model": "bt-reasoner-2",</w:t>
        <w:br/>
        <w:t xml:space="preserve">  "gateway": {</w:t>
        <w:br/>
        <w:t xml:space="preserve">    "route": "edge-sjc1",</w:t>
        <w:br/>
        <w:t xml:space="preserve">    "cache": "hit",</w:t>
        <w:br/>
        <w:t xml:space="preserve">    "fallback_used": false</w:t>
        <w:br/>
        <w:t xml:space="preserve">  },</w:t>
        <w:br/>
        <w:t xml:space="preserve">  "output": [</w:t>
        <w:br/>
        <w:t xml:space="preserve">    {"type": "message", "role": "assistant", "content": "Latency stabilized after the regional rebalance."}</w:t>
        <w:br/>
        <w:t xml:space="preserve">  ]</w:t>
        <w:br/>
        <w:t>}</w:t>
      </w:r>
    </w:p>
    <w:p>
      <w:pPr>
        <w:spacing w:before="320" w:after="12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Error Catalog</w:t>
      </w:r>
    </w:p>
    <w:p>
      <w:pPr>
        <w:spacing w:before="0" w:after="160" w:line="20" w:lineRule="exact"/>
      </w:pPr>
    </w:p>
    <w:tbl>
      <w:tblPr>
        <w:jc w:val="center"/>
        <w:tblLook w:firstColumn="1" w:firstRow="1" w:lastColumn="0" w:lastRow="0" w:noHBand="0" w:noVBand="1" w:val="04A0"/>
        <w:tblLayout w:type="fixed"/>
        <w:tblW w:w="9647" w:type="dxa"/>
        <w:tblBorders>
          <w:top w:val="single" w:sz="4" w:space="0" w:color="D1D5DB"/>
          <w:left w:val="single" w:sz="4" w:space="0" w:color="D1D5DB"/>
          <w:bottom w:val="single" w:sz="4" w:space="0" w:color="D1D5DB"/>
          <w:right w:val="single" w:sz="4" w:space="0" w:color="D1D5DB"/>
          <w:insideH w:val="single" w:sz="4" w:space="0" w:color="D1D5DB"/>
          <w:insideV w:val="single" w:sz="4" w:space="0" w:color="D1D5DB"/>
        </w:tblBorders>
        <w:tblCellMar>
          <w:top w:w="40" w:type="dxa"/>
          <w:left w:w="80" w:type="dxa"/>
          <w:bottom w:w="40" w:type="dxa"/>
          <w:right w:w="80" w:type="dxa"/>
        </w:tblCellMar>
      </w:tblPr>
      <w:tblGrid>
        <w:gridCol w:w="2756"/>
        <w:gridCol w:w="2756"/>
        <w:gridCol w:w="4135"/>
      </w:tblGrid>
      <w:tr>
        <w:tc>
          <w:tcPr>
            <w:tcW w:w="2756" w:type="dxa"/>
            <w:vAlign w:val="center"/>
            <w:shd w:fill="FEE2E2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Code</w:t>
            </w:r>
          </w:p>
        </w:tc>
        <w:tc>
          <w:tcPr>
            <w:tcW w:w="2756" w:type="dxa"/>
            <w:vAlign w:val="center"/>
            <w:shd w:fill="FEE2E2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Meaning</w:t>
            </w:r>
          </w:p>
        </w:tc>
        <w:tc>
          <w:tcPr>
            <w:tcW w:w="4135" w:type="dxa"/>
            <w:vAlign w:val="center"/>
            <w:shd w:fill="FEE2E2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Suggested action</w:t>
            </w:r>
          </w:p>
        </w:tc>
      </w:tr>
      <w:tr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Menlo" w:hAnsi="Menlo" w:eastAsia="Menlo" w:cs="Menlo"/>
                <w:color w:val="0F172A"/>
                <w:sz w:val="21"/>
              </w:rPr>
              <w:t>tenant_not_enabled</w:t>
            </w:r>
          </w:p>
        </w:tc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The tenant is not yet in the edge rollout cohort</w:t>
            </w:r>
          </w:p>
        </w:tc>
        <w:tc>
          <w:tcPr>
            <w:tcW w:w="4135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Retry against the regional baseline or wait for rollout approval</w:t>
            </w:r>
          </w:p>
        </w:tc>
      </w:tr>
      <w:tr>
        <w:tc>
          <w:tcPr>
            <w:tcW w:w="2756" w:type="dxa"/>
            <w:vAlign w:val="center"/>
            <w:shd w:fill="FEF2F2" w:val="clear"/>
          </w:tcPr>
          <w:p>
            <w:pPr>
              <w:spacing w:before="40" w:after="40"/>
              <w:jc w:val="left"/>
            </w:pPr>
            <w:r>
              <w:rPr>
                <w:rFonts w:ascii="Menlo" w:hAnsi="Menlo" w:eastAsia="Menlo" w:cs="Menlo"/>
                <w:color w:val="0F172A"/>
                <w:sz w:val="21"/>
              </w:rPr>
              <w:t>cache_mode_invalid</w:t>
            </w:r>
          </w:p>
        </w:tc>
        <w:tc>
          <w:tcPr>
            <w:tcW w:w="2756" w:type="dxa"/>
            <w:vAlign w:val="center"/>
            <w:shd w:fill="FEF2F2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The caller passed an unsupported cache mode</w:t>
            </w:r>
          </w:p>
        </w:tc>
        <w:tc>
          <w:tcPr>
            <w:tcW w:w="4135" w:type="dxa"/>
            <w:vAlign w:val="center"/>
            <w:shd w:fill="FEF2F2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Validate the request against the published API schema</w:t>
            </w:r>
          </w:p>
        </w:tc>
      </w:tr>
      <w:tr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Menlo" w:hAnsi="Menlo" w:eastAsia="Menlo" w:cs="Menlo"/>
                <w:color w:val="0F172A"/>
                <w:sz w:val="21"/>
              </w:rPr>
              <w:t>gateway_overloaded</w:t>
            </w:r>
          </w:p>
        </w:tc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The edge tier refused the request to protect latency SLOs</w:t>
            </w:r>
          </w:p>
        </w:tc>
        <w:tc>
          <w:tcPr>
            <w:tcW w:w="4135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Retry with backoff or force regional-only routing</w:t>
            </w:r>
          </w:p>
        </w:tc>
      </w:tr>
    </w:tbl>
    <w:p>
      <w:pPr>
        <w:spacing w:before="0" w:after="240" w:line="20" w:lineRule="exact"/>
      </w:pPr>
    </w:p>
    <w:p>
      <w:pPr>
        <w:spacing w:before="0" w:after="160" w:line="40" w:lineRule="exact"/>
        <w:pBdr>
          <w:bottom w:val="single" w:sz="4" w:space="4" w:color="D1D5DB"/>
        </w:pBdr>
      </w:pPr>
      <w:r>
        <w:rPr>
          <w:sz w:val="4"/>
        </w:rPr>
      </w:r>
    </w:p>
    <w:p>
      <w:pPr>
        <w:spacing w:before="440" w:after="16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Risk Register</w:t>
      </w:r>
    </w:p>
    <w:p>
      <w:pPr>
        <w:spacing w:before="0" w:after="160" w:line="20" w:lineRule="exact"/>
      </w:pPr>
    </w:p>
    <w:tbl>
      <w:tblPr>
        <w:jc w:val="center"/>
        <w:tblLook w:firstColumn="1" w:firstRow="1" w:lastColumn="0" w:lastRow="0" w:noHBand="0" w:noVBand="1" w:val="04A0"/>
        <w:tblLayout w:type="fixed"/>
        <w:tblW w:w="9647" w:type="dxa"/>
        <w:tblBorders>
          <w:top w:val="single" w:sz="4" w:space="0" w:color="D1D5DB"/>
          <w:left w:val="single" w:sz="4" w:space="0" w:color="D1D5DB"/>
          <w:bottom w:val="single" w:sz="4" w:space="0" w:color="D1D5DB"/>
          <w:right w:val="single" w:sz="4" w:space="0" w:color="D1D5DB"/>
          <w:insideH w:val="single" w:sz="4" w:space="0" w:color="D1D5DB"/>
          <w:insideV w:val="single" w:sz="4" w:space="0" w:color="D1D5DB"/>
        </w:tblBorders>
        <w:tblCellMar>
          <w:top w:w="40" w:type="dxa"/>
          <w:left w:w="80" w:type="dxa"/>
          <w:bottom w:w="40" w:type="dxa"/>
          <w:right w:w="80" w:type="dxa"/>
        </w:tblCellMar>
      </w:tblPr>
      <w:tblGrid>
        <w:gridCol w:w="2756"/>
        <w:gridCol w:w="2756"/>
        <w:gridCol w:w="2756"/>
        <w:gridCol w:w="1379"/>
      </w:tblGrid>
      <w:tr>
        <w:tc>
          <w:tcPr>
            <w:tcW w:w="2756" w:type="dxa"/>
            <w:vAlign w:val="center"/>
            <w:shd w:fill="FEF3C7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Risk</w:t>
            </w:r>
          </w:p>
        </w:tc>
        <w:tc>
          <w:tcPr>
            <w:tcW w:w="2756" w:type="dxa"/>
            <w:vAlign w:val="center"/>
            <w:shd w:fill="FEF3C7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Trigger</w:t>
            </w:r>
          </w:p>
        </w:tc>
        <w:tc>
          <w:tcPr>
            <w:tcW w:w="2756" w:type="dxa"/>
            <w:vAlign w:val="center"/>
            <w:shd w:fill="FEF3C7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Mitigation</w:t>
            </w:r>
          </w:p>
        </w:tc>
        <w:tc>
          <w:tcPr>
            <w:tcW w:w="1379" w:type="dxa"/>
            <w:vAlign w:val="center"/>
            <w:shd w:fill="FEF3C7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Owner</w:t>
            </w:r>
          </w:p>
        </w:tc>
      </w:tr>
      <w:tr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Cache stampede</w:t>
            </w:r>
          </w:p>
        </w:tc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Sudden tenant burst after a release</w:t>
            </w:r>
          </w:p>
        </w:tc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Cap concurrent fills and bias to regional fallback</w:t>
            </w:r>
          </w:p>
        </w:tc>
        <w:tc>
          <w:tcPr>
            <w:tcW w:w="1379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Inference</w:t>
            </w:r>
          </w:p>
        </w:tc>
      </w:tr>
      <w:tr>
        <w:tc>
          <w:tcPr>
            <w:tcW w:w="2756" w:type="dxa"/>
            <w:vAlign w:val="center"/>
            <w:shd w:fill="FFFBEB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Uneven capacity</w:t>
            </w:r>
          </w:p>
        </w:tc>
        <w:tc>
          <w:tcPr>
            <w:tcW w:w="2756" w:type="dxa"/>
            <w:vAlign w:val="center"/>
            <w:shd w:fill="FFFBEB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Regional pool already near saturation</w:t>
            </w:r>
          </w:p>
        </w:tc>
        <w:tc>
          <w:tcPr>
            <w:tcW w:w="2756" w:type="dxa"/>
            <w:vAlign w:val="center"/>
            <w:shd w:fill="FFFBEB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Hold edge rollout behind demand-aware admission checks</w:t>
            </w:r>
          </w:p>
        </w:tc>
        <w:tc>
          <w:tcPr>
            <w:tcW w:w="1379" w:type="dxa"/>
            <w:vAlign w:val="center"/>
            <w:shd w:fill="FFFBEB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Capacity</w:t>
            </w:r>
          </w:p>
        </w:tc>
      </w:tr>
      <w:tr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Audit ambiguity</w:t>
            </w:r>
          </w:p>
        </w:tc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Reviewers cannot explain why a request was routed differently</w:t>
            </w:r>
          </w:p>
        </w:tc>
        <w:tc>
          <w:tcPr>
            <w:tcW w:w="2756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Log decision tags and persist rollout annotations in weekly review docs</w:t>
            </w:r>
          </w:p>
        </w:tc>
        <w:tc>
          <w:tcPr>
            <w:tcW w:w="1379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Platform</w:t>
            </w:r>
          </w:p>
        </w:tc>
      </w:tr>
      <w:tr>
        <w:tc>
          <w:tcPr>
            <w:tcW w:w="2756" w:type="dxa"/>
            <w:vAlign w:val="center"/>
            <w:shd w:fill="FFFBEB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Rollback confusion</w:t>
            </w:r>
          </w:p>
        </w:tc>
        <w:tc>
          <w:tcPr>
            <w:tcW w:w="2756" w:type="dxa"/>
            <w:vAlign w:val="center"/>
            <w:shd w:fill="FFFBEB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Operators disagree on when the gateway should stand down</w:t>
            </w:r>
          </w:p>
        </w:tc>
        <w:tc>
          <w:tcPr>
            <w:tcW w:w="2756" w:type="dxa"/>
            <w:vAlign w:val="center"/>
            <w:shd w:fill="FFFBEB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Keep one published threshold table and one named owner per gate</w:t>
            </w:r>
          </w:p>
        </w:tc>
        <w:tc>
          <w:tcPr>
            <w:tcW w:w="1379" w:type="dxa"/>
            <w:vAlign w:val="center"/>
            <w:shd w:fill="FFFBEB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Architecture</w:t>
            </w:r>
          </w:p>
        </w:tc>
      </w:tr>
    </w:tbl>
    <w:p>
      <w:pPr>
        <w:spacing w:before="0" w:after="240" w:line="20" w:lineRule="exact"/>
      </w:pPr>
    </w:p>
    <w:p>
      <w:pPr>
        <w:spacing w:before="440" w:after="16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Brand Mark In Review Deck</w:t>
      </w:r>
    </w:p>
    <w:p>
      <w:pPr>
        <w:spacing w:before="0" w:after="120" w:line="293" w:lineRule="auto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The following standalone image verifies anchored body-image sizing separately from the page-header treatment.</w:t>
      </w:r>
    </w:p>
    <w:p>
      <w:pPr>
        <w:spacing w:before="200" w:after="80"/>
        <w:jc w:val="center"/>
      </w:pPr>
      <w:r>
        <w:drawing>
          <wp:inline xmlns:a="http://schemas.openxmlformats.org/drawingml/2006/main" xmlns:pic="http://schemas.openxmlformats.org/drawingml/2006/picture">
            <wp:extent cx="3920947" cy="132368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logo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20947" cy="132368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60"/>
        <w:jc w:val="center"/>
      </w:pPr>
      <w:r>
        <w:rPr>
          <w:rFonts w:ascii="Aptos" w:hAnsi="Aptos" w:eastAsia="Aptos" w:cs="Aptos"/>
          <w:i/>
          <w:color w:val="0F172A"/>
          <w:sz w:val="18"/>
        </w:rPr>
        <w:t>Basethree reference mark used in the design review deck</w:t>
      </w:r>
    </w:p>
    <w:p>
      <w:pPr>
        <w:spacing w:before="0" w:after="160" w:line="40" w:lineRule="exact"/>
        <w:pBdr>
          <w:bottom w:val="single" w:sz="4" w:space="4" w:color="D1D5DB"/>
        </w:pBdr>
      </w:pPr>
      <w:r>
        <w:rPr>
          <w:sz w:val="4"/>
        </w:rPr>
      </w:r>
    </w:p>
    <w:p>
      <w:pPr>
        <w:spacing w:before="440" w:after="160"/>
      </w:pPr>
      <w:r>
        <w:rPr>
          <w:rFonts w:ascii="Aptos" w:hAnsi="Aptos" w:eastAsia="Aptos" w:cs="Aptos"/>
          <w:b/>
          <w:i w:val="0"/>
          <w:strike w:val="0"/>
          <w:color w:val="0F172A"/>
          <w:sz w:val="21"/>
        </w:rPr>
        <w:t>Launch Decision</w:t>
      </w:r>
    </w:p>
    <w:p>
      <w:pPr>
        <w:spacing w:before="0" w:after="120" w:line="293" w:lineRule="auto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Proceed with a canary in one region, one enterprise tenant cohort, and one internal dogfood route. Success should be measured against p95 first-token latency, gateway saturation, and the time required to explain routing outcomes during review.</w:t>
      </w:r>
    </w:p>
    <w:p>
      <w:r>
        <w:br w:type="page"/>
      </w:r>
    </w:p>
    <w:p>
      <w:pPr>
        <w:spacing w:before="440" w:after="160"/>
      </w:pPr>
      <w:r>
        <w:rPr>
          <w:rFonts w:ascii="Aptos" w:hAnsi="Aptos" w:eastAsia="Aptos" w:cs="Aptos"/>
          <w:b/>
          <w:i w:val="0"/>
          <w:caps/>
          <w:strike w:val="0"/>
          <w:color w:val="0F766E"/>
          <w:sz w:val="21"/>
        </w:rPr>
        <w:t>Appendix A - Rollout Metrics</w:t>
      </w:r>
    </w:p>
    <w:p>
      <w:pPr>
        <w:spacing w:before="0" w:after="160" w:line="20" w:lineRule="exact"/>
      </w:pPr>
    </w:p>
    <w:tbl>
      <w:tblPr>
        <w:jc w:val="center"/>
        <w:tblLook w:firstColumn="1" w:firstRow="1" w:lastColumn="0" w:lastRow="0" w:noHBand="0" w:noVBand="1" w:val="04A0"/>
        <w:tblLayout w:type="fixed"/>
        <w:tblW w:w="9647" w:type="dxa"/>
        <w:tblBorders>
          <w:top w:val="single" w:sz="4" w:space="0" w:color="D1D5DB"/>
          <w:left w:val="single" w:sz="4" w:space="0" w:color="D1D5DB"/>
          <w:bottom w:val="single" w:sz="4" w:space="0" w:color="D1D5DB"/>
          <w:right w:val="single" w:sz="4" w:space="0" w:color="D1D5DB"/>
          <w:insideH w:val="single" w:sz="4" w:space="0" w:color="D1D5DB"/>
          <w:insideV w:val="single" w:sz="4" w:space="0" w:color="D1D5DB"/>
        </w:tblBorders>
        <w:tblCellMar>
          <w:top w:w="40" w:type="dxa"/>
          <w:left w:w="80" w:type="dxa"/>
          <w:bottom w:w="40" w:type="dxa"/>
          <w:right w:w="80" w:type="dxa"/>
        </w:tblCellMar>
      </w:tblPr>
      <w:tblGrid>
        <w:gridCol w:w="3215"/>
        <w:gridCol w:w="1607"/>
        <w:gridCol w:w="1607"/>
        <w:gridCol w:w="1607"/>
        <w:gridCol w:w="1611"/>
      </w:tblGrid>
      <w:tr>
        <w:tc>
          <w:tcPr>
            <w:tcW w:w="3215" w:type="dxa"/>
            <w:vAlign w:val="center"/>
            <w:shd w:fill="F1F5F9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Metric</w:t>
            </w:r>
          </w:p>
        </w:tc>
        <w:tc>
          <w:tcPr>
            <w:tcW w:w="1607" w:type="dxa"/>
            <w:vAlign w:val="center"/>
            <w:shd w:fill="F1F5F9" w:val="clear"/>
          </w:tcPr>
          <w:p>
            <w:pPr>
              <w:spacing w:before="60" w:after="60"/>
              <w:jc w:val="righ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Green</w:t>
            </w:r>
          </w:p>
        </w:tc>
        <w:tc>
          <w:tcPr>
            <w:tcW w:w="1607" w:type="dxa"/>
            <w:vAlign w:val="center"/>
            <w:shd w:fill="F1F5F9" w:val="clear"/>
          </w:tcPr>
          <w:p>
            <w:pPr>
              <w:spacing w:before="60" w:after="60"/>
              <w:jc w:val="righ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Yellow</w:t>
            </w:r>
          </w:p>
        </w:tc>
        <w:tc>
          <w:tcPr>
            <w:tcW w:w="1607" w:type="dxa"/>
            <w:vAlign w:val="center"/>
            <w:shd w:fill="F1F5F9" w:val="clear"/>
          </w:tcPr>
          <w:p>
            <w:pPr>
              <w:spacing w:before="60" w:after="60"/>
              <w:jc w:val="righ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Red</w:t>
            </w:r>
          </w:p>
        </w:tc>
        <w:tc>
          <w:tcPr>
            <w:tcW w:w="1611" w:type="dxa"/>
            <w:vAlign w:val="center"/>
            <w:shd w:fill="F1F5F9" w:val="clear"/>
          </w:tcPr>
          <w:p>
            <w:pPr>
              <w:spacing w:before="60" w:after="60"/>
              <w:jc w:val="left"/>
            </w:pPr>
            <w:r>
              <w:rPr>
                <w:rFonts w:ascii="Aptos" w:hAnsi="Aptos" w:eastAsia="Aptos" w:cs="Aptos"/>
                <w:b/>
                <w:i w:val="0"/>
                <w:strike w:val="0"/>
                <w:color w:val="0F172A"/>
                <w:sz w:val="21"/>
              </w:rPr>
              <w:t>Owner</w:t>
            </w:r>
          </w:p>
        </w:tc>
      </w:tr>
      <w:tr>
        <w:tc>
          <w:tcPr>
            <w:tcW w:w="3215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p95 TTFT</w:t>
            </w:r>
          </w:p>
        </w:tc>
        <w:tc>
          <w:tcPr>
            <w:tcW w:w="1607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&lt; 650</w:t>
            </w:r>
          </w:p>
        </w:tc>
        <w:tc>
          <w:tcPr>
            <w:tcW w:w="1607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650-750</w:t>
            </w:r>
          </w:p>
        </w:tc>
        <w:tc>
          <w:tcPr>
            <w:tcW w:w="1607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&gt; 750</w:t>
            </w:r>
          </w:p>
        </w:tc>
        <w:tc>
          <w:tcPr>
            <w:tcW w:w="1611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Inference</w:t>
            </w:r>
          </w:p>
        </w:tc>
      </w:tr>
      <w:tr>
        <w:tc>
          <w:tcPr>
            <w:tcW w:w="3215" w:type="dxa"/>
            <w:vAlign w:val="center"/>
            <w:shd w:fill="F8FAFC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Gateway 5xx rate</w:t>
            </w:r>
          </w:p>
        </w:tc>
        <w:tc>
          <w:tcPr>
            <w:tcW w:w="1607" w:type="dxa"/>
            <w:vAlign w:val="center"/>
            <w:shd w:fill="F8FAFC" w:val="clea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&lt; 0.2%</w:t>
            </w:r>
          </w:p>
        </w:tc>
        <w:tc>
          <w:tcPr>
            <w:tcW w:w="1607" w:type="dxa"/>
            <w:vAlign w:val="center"/>
            <w:shd w:fill="F8FAFC" w:val="clea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0.2-0.5%</w:t>
            </w:r>
          </w:p>
        </w:tc>
        <w:tc>
          <w:tcPr>
            <w:tcW w:w="1607" w:type="dxa"/>
            <w:vAlign w:val="center"/>
            <w:shd w:fill="F8FAFC" w:val="clea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&gt; 0.5%</w:t>
            </w:r>
          </w:p>
        </w:tc>
        <w:tc>
          <w:tcPr>
            <w:tcW w:w="1611" w:type="dxa"/>
            <w:vAlign w:val="center"/>
            <w:shd w:fill="F8FAFC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Platform</w:t>
            </w:r>
          </w:p>
        </w:tc>
      </w:tr>
      <w:tr>
        <w:tc>
          <w:tcPr>
            <w:tcW w:w="3215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Cache reuse rate</w:t>
            </w:r>
          </w:p>
        </w:tc>
        <w:tc>
          <w:tcPr>
            <w:tcW w:w="1607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&gt; 30%</w:t>
            </w:r>
          </w:p>
        </w:tc>
        <w:tc>
          <w:tcPr>
            <w:tcW w:w="1607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20-30%</w:t>
            </w:r>
          </w:p>
        </w:tc>
        <w:tc>
          <w:tcPr>
            <w:tcW w:w="1607" w:type="dxa"/>
            <w:vAlign w:val="cente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&lt; 20%</w:t>
            </w:r>
          </w:p>
        </w:tc>
        <w:tc>
          <w:tcPr>
            <w:tcW w:w="1611" w:type="dxa"/>
            <w:vAlign w:val="cente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Inference</w:t>
            </w:r>
          </w:p>
        </w:tc>
      </w:tr>
      <w:tr>
        <w:tc>
          <w:tcPr>
            <w:tcW w:w="3215" w:type="dxa"/>
            <w:vAlign w:val="center"/>
            <w:shd w:fill="F8FAFC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Reviewer annotation coverage</w:t>
            </w:r>
          </w:p>
        </w:tc>
        <w:tc>
          <w:tcPr>
            <w:tcW w:w="1607" w:type="dxa"/>
            <w:vAlign w:val="center"/>
            <w:shd w:fill="F8FAFC" w:val="clea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100%</w:t>
            </w:r>
          </w:p>
        </w:tc>
        <w:tc>
          <w:tcPr>
            <w:tcW w:w="1607" w:type="dxa"/>
            <w:vAlign w:val="center"/>
            <w:shd w:fill="F8FAFC" w:val="clea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95-99%</w:t>
            </w:r>
          </w:p>
        </w:tc>
        <w:tc>
          <w:tcPr>
            <w:tcW w:w="1607" w:type="dxa"/>
            <w:vAlign w:val="center"/>
            <w:shd w:fill="F8FAFC" w:val="clear"/>
          </w:tcPr>
          <w:p>
            <w:pPr>
              <w:spacing w:before="40" w:after="40"/>
              <w:jc w:val="righ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&lt; 95%</w:t>
            </w:r>
          </w:p>
        </w:tc>
        <w:tc>
          <w:tcPr>
            <w:tcW w:w="1611" w:type="dxa"/>
            <w:vAlign w:val="center"/>
            <w:shd w:fill="F8FAFC" w:val="clear"/>
          </w:tcPr>
          <w:p>
            <w:pPr>
              <w:spacing w:before="40" w:after="40"/>
              <w:jc w:val="left"/>
            </w:pPr>
            <w:r>
              <w:rPr>
                <w:rFonts w:ascii="Aptos" w:hAnsi="Aptos" w:eastAsia="Aptos" w:cs="Aptos"/>
                <w:b w:val="0"/>
                <w:i w:val="0"/>
                <w:strike w:val="0"/>
                <w:color w:val="0F172A"/>
                <w:sz w:val="21"/>
              </w:rPr>
              <w:t>Dev Prod</w:t>
            </w:r>
          </w:p>
        </w:tc>
      </w:tr>
    </w:tbl>
    <w:p>
      <w:pPr>
        <w:spacing w:before="0" w:after="240" w:line="20" w:lineRule="exact"/>
      </w:pPr>
    </w:p>
    <w:p>
      <w:pPr>
        <w:pStyle w:val="ListBullet"/>
        <w:spacing w:before="4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Primary scorecard:</w:t>
      </w:r>
    </w:p>
    <w:p>
      <w:pPr>
        <w:pStyle w:val="ListBullet2"/>
        <w:spacing w:before="40" w:after="120" w:line="293" w:lineRule="auto"/>
        <w:ind w:left="1008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p95 TTFT by route</w:t>
      </w:r>
    </w:p>
    <w:p>
      <w:pPr>
        <w:pStyle w:val="ListBullet2"/>
        <w:spacing w:before="40" w:after="120" w:line="293" w:lineRule="auto"/>
        <w:ind w:left="1008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cache reuse rate by workload type</w:t>
      </w:r>
    </w:p>
    <w:p>
      <w:pPr>
        <w:pStyle w:val="ListBullet2"/>
        <w:spacing w:before="40" w:after="120" w:line="293" w:lineRule="auto"/>
        <w:ind w:left="1008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rollback frequency per tenant cohort</w:t>
      </w:r>
    </w:p>
    <w:p>
      <w:pPr>
        <w:pStyle w:val="ListBullet"/>
        <w:spacing w:before="40" w:after="120" w:line="293" w:lineRule="auto"/>
        <w:ind w:left="504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Qualitative review prompts:</w:t>
      </w:r>
    </w:p>
    <w:p>
      <w:pPr>
        <w:pStyle w:val="ListBullet2"/>
        <w:spacing w:before="40" w:after="120" w:line="293" w:lineRule="auto"/>
        <w:ind w:left="1008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Can a support engineer explain the route that was selected?</w:t>
      </w:r>
    </w:p>
    <w:p>
      <w:pPr>
        <w:pStyle w:val="ListBullet2"/>
        <w:spacing w:before="40" w:after="120" w:line="293" w:lineRule="auto"/>
        <w:ind w:left="1008"/>
        <w:jc w:val="both"/>
      </w:pPr>
      <w:r>
        <w:rPr>
          <w:rFonts w:ascii="Aptos" w:hAnsi="Aptos" w:eastAsia="Aptos" w:cs="Aptos"/>
          <w:b w:val="0"/>
          <w:i w:val="0"/>
          <w:strike w:val="0"/>
          <w:color w:val="0F172A"/>
          <w:sz w:val="21"/>
        </w:rPr>
        <w:t>Can a reviewer map the routing behavior back to the markdown source and sidecar overrides?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1152" w:right="1296" w:bottom="1080" w:left="129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spacing w:before="160"/>
      <w:jc w:val="left"/>
      <w:pBdr>
        <w:top w:val="single" w:sz="4" w:space="4" w:color="CBD5E1"/>
      </w:pBdr>
      <w:tabs>
        <w:tab w:val="center" w:pos="4823"/>
        <w:tab w:val="right" w:pos="9647"/>
      </w:tabs>
    </w:pPr>
    <w:r>
      <w:rPr>
        <w:rFonts w:ascii="Aptos" w:hAnsi="Aptos" w:eastAsia="Aptos" w:cs="Aptos"/>
        <w:b w:val="0"/>
        <w:i w:val="0"/>
        <w:strike w:val="0"/>
        <w:color w:val="475569"/>
        <w:sz w:val="16"/>
      </w:rPr>
      <w:t>Basethree Platform Engineering</w:t>
    </w:r>
    <w:r>
      <w:rPr>
        <w:rFonts w:ascii="Aptos" w:hAnsi="Aptos" w:eastAsia="Aptos" w:cs="Aptos"/>
        <w:color w:val="475569"/>
        <w:sz w:val="16"/>
      </w:rPr>
      <w:tab/>
    </w:r>
    <w:r>
      <w:rPr>
        <w:rFonts w:ascii="Aptos" w:hAnsi="Aptos" w:eastAsia="Aptos" w:cs="Aptos"/>
        <w:b w:val="0"/>
        <w:i w:val="0"/>
        <w:strike w:val="0"/>
        <w:color w:val="475569"/>
        <w:sz w:val="16"/>
      </w:rPr>
      <w:t>RFC-028 | Edge Inference Gateway v2</w:t>
    </w:r>
    <w:r>
      <w:rPr>
        <w:rFonts w:ascii="Aptos" w:hAnsi="Aptos" w:eastAsia="Aptos" w:cs="Aptos"/>
        <w:color w:val="475569"/>
        <w:sz w:val="16"/>
      </w:rPr>
      <w:tab/>
    </w:r>
    <w:r>
      <w:rPr>
        <w:rFonts w:ascii="Aptos" w:hAnsi="Aptos" w:eastAsia="Aptos" w:cs="Aptos"/>
        <w:color w:val="475569"/>
        <w:sz w:val="16"/>
      </w:rPr>
      <w:fldChar w:fldCharType="begin"/>
    </w:r>
    <w:r>
      <w:rPr>
        <w:rFonts w:ascii="Aptos" w:hAnsi="Aptos" w:eastAsia="Aptos" w:cs="Aptos"/>
        <w:color w:val="475569"/>
        <w:sz w:val="16"/>
      </w:rPr>
      <w:instrText xml:space="preserve"> PAGE </w:instrText>
    </w:r>
    <w:r>
      <w:rPr>
        <w:rFonts w:ascii="Aptos" w:hAnsi="Aptos" w:eastAsia="Aptos" w:cs="Aptos"/>
        <w:color w:val="475569"/>
        <w:sz w:val="16"/>
      </w:rPr>
      <w:fldChar w:fldCharType="end"/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left"/>
    </w:pPr>
    <w:r>
      <w:drawing>
        <wp:inline xmlns:a="http://schemas.openxmlformats.org/drawingml/2006/main" xmlns:pic="http://schemas.openxmlformats.org/drawingml/2006/picture">
          <wp:extent cx="960120" cy="324130"/>
          <wp:docPr id="1" name="Picture 1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0" name="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60120" cy="324130"/>
                  </a:xfrm>
                  <a:prstGeom prst="rect"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abstractNum w:abstractNumId="9">
    <w:name w:val="mdc-decimal_hierarchical"/>
    <w:multiLevelType w:val="multilevel"/>
    <w:lvl w:ilvl="0">
      <w:start w:val="1"/>
      <w:numFmt w:val="decimal"/>
      <w:lvlText w:val="%1."/>
      <w:lvlJc w:val="left"/>
      <w:pPr>
        <w:tabs>
          <w:tab w:val="num" w:pos="503"/>
        </w:tabs>
        <w:ind w:left="503" w:hanging="360"/>
      </w:pPr>
    </w:lvl>
    <w:lvl w:ilvl="1">
      <w:start w:val="1"/>
      <w:numFmt w:val="decimal"/>
      <w:lvlText w:val="%1.%2"/>
      <w:lvlJc w:val="left"/>
      <w:pPr>
        <w:tabs>
          <w:tab w:val="num" w:pos="1007"/>
        </w:tabs>
        <w:ind w:left="1007" w:hanging="360"/>
      </w:pPr>
    </w:lvl>
    <w:lvl w:ilvl="2">
      <w:start w:val="1"/>
      <w:numFmt w:val="decimal"/>
      <w:lvlText w:val="%1.%2.%3"/>
      <w:lvlJc w:val="left"/>
      <w:pPr>
        <w:tabs>
          <w:tab w:val="num" w:pos="1511"/>
        </w:tabs>
        <w:ind w:left="1511" w:hanging="360"/>
      </w:pPr>
    </w:lvl>
    <w:lvl w:ilvl="3">
      <w:start w:val="1"/>
      <w:numFmt w:val="decimal"/>
      <w:lvlText w:val="%1.%2.%3.%4"/>
      <w:lvlJc w:val="left"/>
      <w:pPr>
        <w:tabs>
          <w:tab w:val="num" w:pos="2015"/>
        </w:tabs>
        <w:ind w:left="2015" w:hanging="360"/>
      </w:p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360"/>
      </w:pPr>
    </w:lvl>
    <w:lvl w:ilvl="5">
      <w:start w:val="1"/>
      <w:numFmt w:val="decimal"/>
      <w:lvlText w:val="%1.%2.%3.%4.%5.%6"/>
      <w:lvlJc w:val="left"/>
      <w:pPr>
        <w:tabs>
          <w:tab w:val="num" w:pos="3023"/>
        </w:tabs>
        <w:ind w:left="3023" w:hanging="360"/>
      </w:pPr>
    </w:lvl>
    <w:lvl w:ilvl="6">
      <w:start w:val="1"/>
      <w:numFmt w:val="decimal"/>
      <w:lvlText w:val="%1.%2.%3.%4.%5.%6.%7"/>
      <w:lvlJc w:val="left"/>
      <w:pPr>
        <w:tabs>
          <w:tab w:val="num" w:pos="3527"/>
        </w:tabs>
        <w:ind w:left="3527" w:hanging="360"/>
      </w:pPr>
    </w:lvl>
    <w:lvl w:ilvl="7">
      <w:start w:val="1"/>
      <w:numFmt w:val="decimal"/>
      <w:lvlText w:val="%1.%2.%3.%4.%5.%6.%7.%8"/>
      <w:lvlJc w:val="left"/>
      <w:pPr>
        <w:tabs>
          <w:tab w:val="num" w:pos="4031"/>
        </w:tabs>
        <w:ind w:left="4031" w:hanging="360"/>
      </w:pPr>
    </w:lvl>
    <w:lvl w:ilvl="8">
      <w:start w:val="1"/>
      <w:numFmt w:val="decimal"/>
      <w:lvlText w:val="%1.%2.%3.%4.%5.%6.%7.%8.%9"/>
      <w:lvlJc w:val="left"/>
      <w:pPr>
        <w:tabs>
          <w:tab w:val="num" w:pos="4536"/>
        </w:tabs>
        <w:ind w:left="4536" w:hanging="360"/>
      </w:pPr>
    </w:lvl>
  </w:abstract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/>
      <w:color w:val="0F172A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hyperlink" Target="https://basethree.example/playbooks/edge-gateway" TargetMode="External"/><Relationship Id="rId12" Type="http://schemas.openxmlformats.org/officeDocument/2006/relationships/image" Target="media/image1.png"/></Relationships>
</file>

<file path=word/_rels/header1.xml.rels><?xml version='1.0' encoding='UTF-8' standalone='yes'?>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Basethree Design Review</dc:title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