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480" w:after="60"/>
      </w:pPr>
      <w:r>
        <w:rPr>
          <w:rFonts w:ascii="Courier New" w:cs="Courier New" w:eastAsia="Courier New" w:hAnsi="Courier New"/>
          <w:b/>
          <w:bCs/>
          <w:color w:val="1A56A0"/>
          <w:sz w:val="64"/>
          <w:szCs w:val="64"/>
        </w:rPr>
        <w:t xml:space="preserve">llm</w:t>
      </w:r>
      <w:r>
        <w:rPr>
          <w:rFonts w:ascii="Courier New" w:cs="Courier New" w:eastAsia="Courier New" w:hAnsi="Courier New"/>
          <w:b/>
          <w:bCs/>
          <w:color w:val="0B1F3A"/>
          <w:sz w:val="64"/>
          <w:szCs w:val="64"/>
        </w:rPr>
        <w:t xml:space="preserve">-schema</w:t>
      </w:r>
    </w:p>
    <w:p>
      <w:pPr>
        <w:pBdr>
          <w:bottom w:val="single" w:color="1A56A0" w:sz="14" w:space="6"/>
        </w:pBdr>
        <w:spacing w:before="0" w:after="80"/>
      </w:pPr>
      <w:r>
        <w:rPr>
          <w:rFonts w:ascii="Arial" w:cs="Arial" w:eastAsia="Arial" w:hAnsi="Arial"/>
          <w:color w:val="64748B"/>
          <w:sz w:val="24"/>
          <w:szCs w:val="24"/>
        </w:rPr>
        <w:t xml:space="preserve">Shared Event Schema  —  Enterprise Product Specification  •  v1.0</w:t>
      </w:r>
    </w:p>
    <w:p>
      <w:pPr>
        <w:spacing w:before="120" w:after="480"/>
      </w:pPr>
      <w:r>
        <w:rPr>
          <w:rFonts w:ascii="Arial" w:cs="Arial" w:eastAsia="Arial" w:hAnsi="Arial"/>
          <w:i/>
          <w:iCs/>
          <w:color w:val="444444"/>
          <w:sz w:val="23"/>
          <w:szCs w:val="23"/>
        </w:rPr>
        <w:t xml:space="preserve">The foundational contract for the LLM Developer Toolkit. An OpenTelemetry-compatible, versioned, enterprise-grade event schema emitted by every tool in the ecosystem.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003D7A" w:val="clear"/>
            <w:tcMar>
              <w:top w:type="dxa" w:w="90"/>
              <w:left w:type="dxa" w:w="140"/>
              <w:bottom w:type="dxa" w:w="9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Status: Specification</w:t>
            </w:r>
          </w:p>
        </w:tc>
        <w:tc>
          <w:tcPr>
            <w:tcW w:type="dxa" w:w="1872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4532D" w:val="clear"/>
            <w:tcMar>
              <w:top w:type="dxa" w:w="90"/>
              <w:left w:type="dxa" w:w="140"/>
              <w:bottom w:type="dxa" w:w="9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Type: Python Library</w:t>
            </w:r>
          </w:p>
        </w:tc>
        <w:tc>
          <w:tcPr>
            <w:tcW w:type="dxa" w:w="1872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7F1D1D" w:val="clear"/>
            <w:tcMar>
              <w:top w:type="dxa" w:w="90"/>
              <w:left w:type="dxa" w:w="140"/>
              <w:bottom w:type="dxa" w:w="9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Build Order: #1 — Before Everything</w:t>
            </w:r>
          </w:p>
        </w:tc>
        <w:tc>
          <w:tcPr>
            <w:tcW w:type="dxa" w:w="1872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78350F" w:val="clear"/>
            <w:tcMar>
              <w:top w:type="dxa" w:w="90"/>
              <w:left w:type="dxa" w:w="140"/>
              <w:bottom w:type="dxa" w:w="9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Language: Python 3.9+</w:t>
            </w:r>
          </w:p>
        </w:tc>
        <w:tc>
          <w:tcPr>
            <w:tcW w:type="dxa" w:w="1872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374151" w:val="clear"/>
            <w:tcMar>
              <w:top w:type="dxa" w:w="90"/>
              <w:left w:type="dxa" w:w="140"/>
              <w:bottom w:type="dxa" w:w="9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February 2026</w:t>
            </w:r>
          </w:p>
        </w:tc>
      </w:tr>
    </w:tbl>
    <w:p>
      <w:pPr>
        <w:spacing w:before="320" w:after="0"/>
      </w:pPr>
      <w:r>
        <w:t xml:space="preserve"/>
      </w:r>
    </w:p>
    <w:p>
      <w:pPr>
        <w:pStyle w:val="Heading1"/>
        <w:pBdr>
          <w:bottom w:val="single" w:color="1A56A0" w:sz="10" w:space="4"/>
        </w:pBdr>
        <w:spacing w:before="440" w:after="120"/>
      </w:pPr>
      <w:r>
        <w:rPr>
          <w:rFonts w:ascii="Arial" w:cs="Arial" w:eastAsia="Arial" w:hAnsi="Arial"/>
          <w:b/>
          <w:bCs/>
          <w:color w:val="0B1F3A"/>
          <w:sz w:val="30"/>
          <w:szCs w:val="30"/>
        </w:rPr>
        <w:t xml:space="preserve">1. Executive Summary</w:t>
      </w:r>
    </w:p>
    <w:p>
      <w:pPr>
        <w:spacing w:before="60" w:after="100"/>
      </w:pPr>
      <w:r>
        <w:rPr>
          <w:rFonts w:ascii="Arial" w:cs="Arial" w:eastAsia="Arial" w:hAnsi="Arial"/>
          <w:color w:val="2D2D2D"/>
          <w:sz w:val="21"/>
          <w:szCs w:val="21"/>
        </w:rPr>
        <w:t xml:space="preserve">llm-schema is the single most important component in the LLM Developer Toolkit. It is not a user-facing tool — it is the shared contract that transforms 17 independent utilities into a composable ecosystem. Every tool emits events that conform to this schema. Every enterprise integration consumes events in this format. Every third-party tool that wants to join the ecosystem adopts this standard.</w:t>
      </w:r>
    </w:p>
    <w:p>
      <w:pPr>
        <w:spacing w:before="60" w:after="100"/>
      </w:pPr>
      <w:r>
        <w:rPr>
          <w:rFonts w:ascii="Arial" w:cs="Arial" w:eastAsia="Arial" w:hAnsi="Arial"/>
          <w:color w:val="2D2D2D"/>
          <w:sz w:val="21"/>
          <w:szCs w:val="21"/>
        </w:rPr>
        <w:t xml:space="preserve">Without llm-schema, the toolkit is a collection of isolated scripts. With it, enterprises can route events from any tool into Datadog, Grafana, Honeycomb, or Splunk with zero adapter code. Developers can pipe llm-trace spans into evalkit evaluations without custom glue. The schema is the moat.</w:t>
      </w:r>
    </w:p>
    <w:p>
      <w:pPr>
        <w:spacing w:before="80" w:after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"/>
        <w:gridCol w:w="9100"/>
      </w:tblGrid>
      <w:tr>
        <w:tc>
          <w:tcPr>
            <w:tcW w:type="dxa" w:w="2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7F1D1D" w:val="clear"/>
          </w:tcPr>
          <w:p>
            <w:r>
              <w:t xml:space="preserve"/>
            </w:r>
          </w:p>
        </w:tc>
        <w:tc>
          <w:tcPr>
            <w:tcW w:type="dxa" w:w="91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EE2E2" w:val="clear"/>
            <w:tcMar>
              <w:top w:type="dxa" w:w="120"/>
              <w:left w:type="dxa" w:w="200"/>
              <w:bottom w:type="dxa" w:w="120"/>
              <w:right w:type="dxa" w:w="160"/>
            </w:tcMar>
          </w:tcPr>
          <w:p>
            <w:pPr>
              <w:spacing w:before="0" w:after="40"/>
            </w:pPr>
            <w:r>
              <w:rPr>
                <w:rFonts w:ascii="Arial" w:cs="Arial" w:eastAsia="Arial" w:hAnsi="Arial"/>
                <w:b/>
                <w:bCs/>
                <w:color w:val="7F1D1D"/>
                <w:sz w:val="19"/>
                <w:szCs w:val="19"/>
              </w:rPr>
              <w:t xml:space="preserve">WHY BUILD THIS FIRST</w:t>
            </w:r>
          </w:p>
          <w:p>
            <w:r>
              <w:rPr>
                <w:rFonts w:ascii="Arial" w:cs="Arial" w:eastAsia="Arial" w:hAnsi="Arial"/>
                <w:color w:val="1A1A1A"/>
                <w:sz w:val="21"/>
                <w:szCs w:val="21"/>
              </w:rPr>
              <w:t xml:space="preserve">Every other tool builds against this contract. If the schema is designed poorly and three tools are already in production, breaking changes require coordinated migration across every downstream consumer — including enterprise customers. Design it correctly before writing a single line of any other tool. Budget a full week. Get review from three people with different use cases before freezing v1.0.</w:t>
            </w:r>
          </w:p>
        </w:tc>
      </w:tr>
    </w:tbl>
    <w:p>
      <w:pPr>
        <w:spacing w:before="80" w:after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60"/>
        <w:gridCol w:w="4800"/>
      </w:tblGrid>
      <w:tr>
        <w:tc>
          <w:tcPr>
            <w:tcW w:type="dxa" w:w="45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280"/>
            </w:tcMar>
          </w:tcPr>
          <w:p>
            <w:pPr>
              <w:spacing w:before="200" w:after="60"/>
            </w:pPr>
            <w:r>
              <w:rPr>
                <w:rFonts w:ascii="Arial" w:cs="Arial" w:eastAsia="Arial" w:hAnsi="Arial"/>
                <w:b/>
                <w:bCs/>
                <w:color w:val="0B1F3A"/>
                <w:sz w:val="22"/>
                <w:szCs w:val="22"/>
              </w:rPr>
              <w:t xml:space="preserve">What it provides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333333"/>
                <w:sz w:val="21"/>
                <w:szCs w:val="21"/>
              </w:rPr>
              <w:t xml:space="preserve">OpenTelemetry-compatible event envelope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333333"/>
                <w:sz w:val="21"/>
                <w:szCs w:val="21"/>
              </w:rPr>
              <w:t xml:space="preserve">Namespaced event type registry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333333"/>
                <w:sz w:val="21"/>
                <w:szCs w:val="21"/>
              </w:rPr>
              <w:t xml:space="preserve">Versioned schema with migration support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333333"/>
                <w:sz w:val="21"/>
                <w:szCs w:val="21"/>
              </w:rPr>
              <w:t xml:space="preserve">Python dataclasses + Pydantic models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333333"/>
                <w:sz w:val="21"/>
                <w:szCs w:val="21"/>
              </w:rPr>
              <w:t xml:space="preserve">JSON Schema for validation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333333"/>
                <w:sz w:val="21"/>
                <w:szCs w:val="21"/>
              </w:rPr>
              <w:t xml:space="preserve">Serialisation / deserialisation helpers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333333"/>
                <w:sz w:val="21"/>
                <w:szCs w:val="21"/>
              </w:rPr>
              <w:t xml:space="preserve">Signed event support for audit integrity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333333"/>
                <w:sz w:val="21"/>
                <w:szCs w:val="21"/>
              </w:rPr>
              <w:t xml:space="preserve">Redaction hooks for PII compliance</w:t>
            </w:r>
          </w:p>
        </w:tc>
        <w:tc>
          <w:tcPr>
            <w:tcW w:type="dxa" w:w="48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280"/>
              <w:bottom w:type="dxa" w:w="0"/>
              <w:right w:type="dxa" w:w="0"/>
            </w:tcMar>
          </w:tcPr>
          <w:p>
            <w:pPr>
              <w:spacing w:before="200" w:after="60"/>
            </w:pPr>
            <w:r>
              <w:rPr>
                <w:rFonts w:ascii="Arial" w:cs="Arial" w:eastAsia="Arial" w:hAnsi="Arial"/>
                <w:b/>
                <w:bCs/>
                <w:color w:val="0B1F3A"/>
                <w:sz w:val="22"/>
                <w:szCs w:val="22"/>
              </w:rPr>
              <w:t xml:space="preserve">What consumes it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333333"/>
                <w:sz w:val="21"/>
                <w:szCs w:val="21"/>
              </w:rPr>
              <w:t xml:space="preserve">llm-diff — emits diff.completed events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333333"/>
                <w:sz w:val="21"/>
                <w:szCs w:val="21"/>
              </w:rPr>
              <w:t xml:space="preserve">promptlock — emits prompt.* audit events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333333"/>
                <w:sz w:val="21"/>
                <w:szCs w:val="21"/>
              </w:rPr>
              <w:t xml:space="preserve">llm-trace — primary span producer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333333"/>
                <w:sz w:val="21"/>
                <w:szCs w:val="21"/>
              </w:rPr>
              <w:t xml:space="preserve">llm-cost — reads span events for cost calc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333333"/>
                <w:sz w:val="21"/>
                <w:szCs w:val="21"/>
              </w:rPr>
              <w:t xml:space="preserve">evalkit — emits eval.scored events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333333"/>
                <w:sz w:val="21"/>
                <w:szCs w:val="21"/>
              </w:rPr>
              <w:t xml:space="preserve">promptguard — emits guard.blocked events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333333"/>
                <w:sz w:val="21"/>
                <w:szCs w:val="21"/>
              </w:rPr>
              <w:t xml:space="preserve">agentboard — reads all event types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333333"/>
                <w:sz w:val="21"/>
                <w:szCs w:val="21"/>
              </w:rPr>
              <w:t xml:space="preserve">Any third-party tool via PyPI</w:t>
            </w:r>
          </w:p>
        </w:tc>
      </w:tr>
    </w:tbl>
    <w:p>
      <w:pPr>
        <w:spacing w:before="160" w:after="0"/>
      </w:pPr>
      <w:r>
        <w:t xml:space="preserve"/>
      </w:r>
    </w:p>
    <w:p>
      <w:pPr>
        <w:pStyle w:val="Heading1"/>
        <w:pBdr>
          <w:bottom w:val="single" w:color="1A56A0" w:sz="10" w:space="4"/>
        </w:pBdr>
        <w:spacing w:before="440" w:after="120"/>
      </w:pPr>
      <w:r>
        <w:rPr>
          <w:rFonts w:ascii="Arial" w:cs="Arial" w:eastAsia="Arial" w:hAnsi="Arial"/>
          <w:b/>
          <w:bCs/>
          <w:color w:val="0B1F3A"/>
          <w:sz w:val="30"/>
          <w:szCs w:val="30"/>
        </w:rPr>
        <w:t xml:space="preserve">2. Design Principles</w:t>
      </w:r>
    </w:p>
    <w:p>
      <w:pPr>
        <w:spacing w:before="60" w:after="100"/>
      </w:pPr>
      <w:r>
        <w:rPr>
          <w:rFonts w:ascii="Arial" w:cs="Arial" w:eastAsia="Arial" w:hAnsi="Arial"/>
          <w:color w:val="2D2D2D"/>
          <w:sz w:val="21"/>
          <w:szCs w:val="21"/>
        </w:rPr>
        <w:t xml:space="preserve">These are hard constraints, not guidelines. Any proposal that violates one must be rejected at design review before v1.0 freeze.</w:t>
      </w:r>
    </w:p>
    <w:p>
      <w:pPr>
        <w:spacing w:before="80" w:after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3200"/>
        <w:gridCol w:w="3960"/>
      </w:tblGrid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B1F3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Principle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B1F3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Constraint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B1F3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Why It Matters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OpenTelemetry-first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All events map cleanly to OTLP spans or log records. No custom wire format.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Enterprise customers already have Datadog, Grafana, Splunk. Zero-adapter routing is the adoption unlock.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Append-only versioning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Schema fields are never removed or renamed — only new fields added. Breaking changes require a new major version.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Tools built against v1 must work when a consumer upgrades to v1.3.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Namespace ownership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Each tool owns a namespace. No tool may emit events in another tool's namespace.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Prevents naming collisions and makes event routing unambiguous in multi-tool pipelines.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Minimal required fields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The envelope has the minimum required fields. Domain-specific data goes in payload.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Third-party tools can comply without understanding the full ecosystem.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PII-safe by default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Sensitive fields are marked __redactable. Redaction is opt-in per field, not per event.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GDPR/HIPAA compliance does not require a custom schema variant.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Tamper-evident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Events optionally carry an HMAC-SHA256 signature chained to the previous event.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Audit log integrity for enterprise compliance without a separate database.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Deterministic IDs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Event IDs are ULIDs — sortable, unique, no coordination required for generation.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Tools running in parallel or offline can generate IDs without a central service.</w:t>
            </w:r>
          </w:p>
        </w:tc>
      </w:tr>
    </w:tbl>
    <w:p>
      <w:pPr>
        <w:spacing w:before="160" w:after="0"/>
      </w:pPr>
      <w:r>
        <w:t xml:space="preserve"/>
      </w:r>
    </w:p>
    <w:p>
      <w:pPr>
        <w:pStyle w:val="Heading1"/>
        <w:pBdr>
          <w:bottom w:val="single" w:color="1A56A0" w:sz="10" w:space="4"/>
        </w:pBdr>
        <w:spacing w:before="440" w:after="120"/>
      </w:pPr>
      <w:r>
        <w:rPr>
          <w:rFonts w:ascii="Arial" w:cs="Arial" w:eastAsia="Arial" w:hAnsi="Arial"/>
          <w:b/>
          <w:bCs/>
          <w:color w:val="0B1F3A"/>
          <w:sz w:val="30"/>
          <w:szCs w:val="30"/>
        </w:rPr>
        <w:t xml:space="preserve">3. Schema Specification</w:t>
      </w:r>
    </w:p>
    <w:p>
      <w:pPr>
        <w:pStyle w:val="Heading2"/>
        <w:spacing w:before="300" w:after="80"/>
      </w:pPr>
      <w:r>
        <w:rPr>
          <w:rFonts w:ascii="Arial" w:cs="Arial" w:eastAsia="Arial" w:hAnsi="Arial"/>
          <w:b/>
          <w:bCs/>
          <w:color w:val="1A56A0"/>
          <w:sz w:val="25"/>
          <w:szCs w:val="25"/>
        </w:rPr>
        <w:t xml:space="preserve">3.1  Base event envelope</w:t>
      </w:r>
    </w:p>
    <w:p>
      <w:pPr>
        <w:spacing w:before="60" w:after="100"/>
      </w:pPr>
      <w:r>
        <w:rPr>
          <w:rFonts w:ascii="Arial" w:cs="Arial" w:eastAsia="Arial" w:hAnsi="Arial"/>
          <w:color w:val="2D2D2D"/>
          <w:sz w:val="21"/>
          <w:szCs w:val="21"/>
        </w:rPr>
        <w:t xml:space="preserve">Every event emitted by every tool in the ecosystem must conform to this envelope. Fields marked REQUIRED must always be present. All other fields are OPTIONAL.</w:t>
      </w:r>
    </w:p>
    <w:p>
      <w:pPr>
        <w:spacing w:before="80" w:after="0"/>
      </w:pPr>
      <w:r>
        <w:t xml:space="preserve"/>
      </w:r>
    </w:p>
    <w:p>
      <w:pPr>
        <w:shd w:fill="1E1E2E" w:val="clear"/>
        <w:spacing w:before="80" w:after="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# llm-schema v1.0  —  Base Event Envelope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# All llm-toolkit tools emit events conforming to this structure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{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# ── Identity ───────────────────────────────────────────────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"schema_version":  "1.0",              # REQUIRED. SemVer string.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"event_id":        "01HX4M2P8KQZRN...", # REQUIRED. ULID. Globally unique.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"event_type":      "llm.trace.span.completed",  # REQUIRED. Namespaced.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"timestamp":       "2026-02-15T14:32:01.442193Z",  # REQUIRED. UTC ISO-8601.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"source":          "llm-trace@0.3.1",  # REQUIRED. tool-name@semver.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# ── Tracing (OpenTelemetry-compatible) ─────────────────────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"trace_id":        "4bf92f3577b34da6...",  # OPTIONAL. 32-hex chars.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"span_id":         "00f067aa0ba902b7",     # OPTIONAL. 16-hex chars.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"parent_span_id":  "34aab34a1a4c1e3e",     # OPTIONAL. For nested spans.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# ── Context ────────────────────────────────────────────────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"org_id":     "org_01HX...",   # OPTIONAL. Top-level — used for routing.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"team_id":    "team_01HX...",  # OPTIONAL.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"actor_id":   "usr_01HX...",   # OPTIONAL. Human or service account.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"session_id": "sess_01HX...",  # OPTIONAL. Groups related events.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# ── Payload ────────────────────────────────────────────────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"payload": { "...": "..." },   # REQUIRED. Tool-specific content.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# ── Tags ──────────────────────────────────────────────────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"tags": { "env": "production", "model": "gpt-4o" },  # OPTIONAL.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# ── Integrity ─────────────────────────────────────────────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"checksum":  "sha256:a3f9b2...",        # OPTIONAL. SHA-256 of payload.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"signature": "hmac-sha256:4d8c1a...",   # OPTIONAL. Chain signature.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"prev_id":   "01HX4M2N..."              # OPTIONAL. For audit chain.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}</w:t>
      </w:r>
    </w:p>
    <w:p>
      <w:pPr>
        <w:shd w:fill="1E1E2E" w:val="clear"/>
        <w:spacing w:before="0" w:after="8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pacing w:before="80" w:after="0"/>
      </w:pPr>
      <w:r>
        <w:t xml:space="preserve"/>
      </w:r>
    </w:p>
    <w:p>
      <w:pPr>
        <w:pStyle w:val="Heading2"/>
        <w:spacing w:before="300" w:after="80"/>
      </w:pPr>
      <w:r>
        <w:rPr>
          <w:rFonts w:ascii="Arial" w:cs="Arial" w:eastAsia="Arial" w:hAnsi="Arial"/>
          <w:b/>
          <w:bCs/>
          <w:color w:val="1A56A0"/>
          <w:sz w:val="25"/>
          <w:szCs w:val="25"/>
        </w:rPr>
        <w:t xml:space="preserve">3.2  Event type namespace registry</w:t>
      </w:r>
    </w:p>
    <w:p>
      <w:pPr>
        <w:spacing w:before="60" w:after="100"/>
      </w:pPr>
      <w:r>
        <w:rPr>
          <w:rFonts w:ascii="Arial" w:cs="Arial" w:eastAsia="Arial" w:hAnsi="Arial"/>
          <w:color w:val="2D2D2D"/>
          <w:sz w:val="21"/>
          <w:szCs w:val="21"/>
        </w:rPr>
        <w:t xml:space="preserve">All event types follow: llm.&lt;tool-namespace&gt;.&lt;entity&gt;.&lt;action&gt;. Each tool owns its namespace exclusively.</w:t>
      </w:r>
    </w:p>
    <w:p>
      <w:pPr>
        <w:spacing w:before="80" w:after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1800"/>
        <w:gridCol w:w="5560"/>
      </w:tblGrid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B1F3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Namespace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B1F3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Tool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B1F3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Key Event Types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0369A1"/>
                <w:sz w:val="17"/>
                <w:szCs w:val="17"/>
              </w:rPr>
              <w:t xml:space="preserve">llm.diff.*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llm-diff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llm.diff.comparison.started  •  llm.diff.comparison.completed  •  llm.diff.report.exported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0369A1"/>
                <w:sz w:val="17"/>
                <w:szCs w:val="17"/>
              </w:rPr>
              <w:t xml:space="preserve">llm.prompt.*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promptlock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llm.prompt.saved  •  llm.prompt.promoted  •  llm.prompt.rolled_back  •  llm.prompt.approved  •  llm.prompt.rejected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0369A1"/>
                <w:sz w:val="17"/>
                <w:szCs w:val="17"/>
              </w:rPr>
              <w:t xml:space="preserve">llm.template.*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promptblock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llm.template.rendered  •  llm.template.variable.missing  •  llm.template.validation.failed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0369A1"/>
                <w:sz w:val="17"/>
                <w:szCs w:val="17"/>
              </w:rPr>
              <w:t xml:space="preserve">llm.trace.*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llm-trace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llm.trace.span.started  •  llm.trace.span.completed  •  llm.trace.tool_call.started  •  llm.trace.tool_call.completed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0369A1"/>
                <w:sz w:val="17"/>
                <w:szCs w:val="17"/>
              </w:rPr>
              <w:t xml:space="preserve">llm.cost.*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llm-cost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llm.cost.recorded  •  llm.cost.budget.threshold_reached  •  llm.cost.budget.exceeded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0369A1"/>
                <w:sz w:val="17"/>
                <w:szCs w:val="17"/>
              </w:rPr>
              <w:t xml:space="preserve">llm.eval.*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evalkit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llm.eval.scenario.started  •  llm.eval.scenario.completed  •  llm.eval.regression.failed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0369A1"/>
                <w:sz w:val="17"/>
                <w:szCs w:val="17"/>
              </w:rPr>
              <w:t xml:space="preserve">llm.guard.*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promptguard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llm.guard.input.scanned  •  llm.guard.input.blocked  •  llm.guard.output.flagged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0369A1"/>
                <w:sz w:val="17"/>
                <w:szCs w:val="17"/>
              </w:rPr>
              <w:t xml:space="preserve">llm.redact.*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llm-redact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llm.redact.pii.detected  •  llm.redact.pii.redacted  •  llm.redact.scan.completed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0369A1"/>
                <w:sz w:val="17"/>
                <w:szCs w:val="17"/>
              </w:rPr>
              <w:t xml:space="preserve">llm.fence.*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llm-fence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llm.fence.validation.passed  •  llm.fence.validation.failed  •  llm.fence.retry.triggered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0369A1"/>
                <w:sz w:val="17"/>
                <w:szCs w:val="17"/>
              </w:rPr>
              <w:t xml:space="preserve">llm.cache.*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llm-cache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llm.cache.hit  •  llm.cache.miss  •  llm.cache.evicted</w:t>
            </w:r>
          </w:p>
        </w:tc>
      </w:tr>
    </w:tbl>
    <w:p>
      <w:pPr>
        <w:spacing w:before="80" w:after="0"/>
      </w:pPr>
      <w:r>
        <w:t xml:space="preserve"/>
      </w:r>
    </w:p>
    <w:p>
      <w:pPr>
        <w:pStyle w:val="Heading2"/>
        <w:spacing w:before="300" w:after="80"/>
      </w:pPr>
      <w:r>
        <w:rPr>
          <w:rFonts w:ascii="Arial" w:cs="Arial" w:eastAsia="Arial" w:hAnsi="Arial"/>
          <w:b/>
          <w:bCs/>
          <w:color w:val="1A56A0"/>
          <w:sz w:val="25"/>
          <w:szCs w:val="25"/>
        </w:rPr>
        <w:t xml:space="preserve">3.3  Critical payload schemas</w:t>
      </w:r>
    </w:p>
    <w:p>
      <w:pPr>
        <w:spacing w:before="200" w:after="60"/>
      </w:pPr>
      <w:r>
        <w:rPr>
          <w:rFonts w:ascii="Arial" w:cs="Arial" w:eastAsia="Arial" w:hAnsi="Arial"/>
          <w:b/>
          <w:bCs/>
          <w:color w:val="0B1F3A"/>
          <w:sz w:val="22"/>
          <w:szCs w:val="22"/>
        </w:rPr>
        <w:t xml:space="preserve">llm.trace.span.completed  —  the central event type</w:t>
      </w:r>
    </w:p>
    <w:p>
      <w:pPr>
        <w:spacing w:before="60" w:after="100"/>
      </w:pPr>
      <w:r>
        <w:rPr>
          <w:rFonts w:ascii="Arial" w:cs="Arial" w:eastAsia="Arial" w:hAnsi="Arial"/>
          <w:color w:val="2D2D2D"/>
          <w:sz w:val="21"/>
          <w:szCs w:val="21"/>
        </w:rPr>
        <w:t xml:space="preserve">Produced by llm-trace and consumed by llm-cost, llm-inspect, agentboard, and evalkit. Its payload schema must be stable from v1.0.</w:t>
      </w:r>
    </w:p>
    <w:p>
      <w:pPr>
        <w:spacing w:before="40" w:after="0"/>
      </w:pPr>
      <w:r>
        <w:t xml:space="preserve"/>
      </w:r>
    </w:p>
    <w:p>
      <w:pPr>
        <w:shd w:fill="1E1E2E" w:val="clear"/>
        <w:spacing w:before="80" w:after="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"payload": {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"span_name":   "run_customer_support_agent",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"span_kind":   "agent",   # agent | tool | llm | chain | unknown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"status":      "ok",      # ok | error | timeout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"start_time":  "2026-02-15T14:32:01.100Z",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"end_time":    "2026-02-15T14:32:03.821Z",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"duration_ms": 2721,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"model": { "name": "gpt-4o", "provider": "openai", "temperature": 0.7 },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"usage": { "prompt_tokens": 312, "completion_tokens": 189, "cost_usd": 0.00412 },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"input":  { "__redactable": true, "__sensitivity": "high", "content": "..." },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"output": { "__redactable": true, "__sensitivity": "high", "content": "..." },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"tool_calls": [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  { "call_id": "call_abc", "tool_name": "lookup_order",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    "arguments": { "__redactable": true, "order_id": "ORD-4892" },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    "result": { "__redactable": true, "status": "shipped" },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    "duration_ms": 142, "result_used": true }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],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"error": null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}</w:t>
      </w:r>
    </w:p>
    <w:p>
      <w:pPr>
        <w:shd w:fill="1E1E2E" w:val="clear"/>
        <w:spacing w:before="0" w:after="8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pacing w:before="80" w:after="0"/>
      </w:pPr>
      <w:r>
        <w:t xml:space="preserve"/>
      </w:r>
    </w:p>
    <w:p>
      <w:pPr>
        <w:spacing w:before="200" w:after="60"/>
      </w:pPr>
      <w:r>
        <w:rPr>
          <w:rFonts w:ascii="Arial" w:cs="Arial" w:eastAsia="Arial" w:hAnsi="Arial"/>
          <w:b/>
          <w:bCs/>
          <w:color w:val="0B1F3A"/>
          <w:sz w:val="22"/>
          <w:szCs w:val="22"/>
        </w:rPr>
        <w:t xml:space="preserve">llm.prompt.promoted  —  audit-critical event</w:t>
      </w:r>
    </w:p>
    <w:p>
      <w:pPr>
        <w:spacing w:before="60" w:after="100"/>
      </w:pPr>
      <w:r>
        <w:rPr>
          <w:rFonts w:ascii="Arial" w:cs="Arial" w:eastAsia="Arial" w:hAnsi="Arial"/>
          <w:color w:val="2D2D2D"/>
          <w:sz w:val="21"/>
          <w:szCs w:val="21"/>
        </w:rPr>
        <w:t xml:space="preserve">Emitted by promptlock on every environment promotion. Must carry enough data to satisfy a compliance audit independently.</w:t>
      </w:r>
    </w:p>
    <w:p>
      <w:pPr>
        <w:spacing w:before="40" w:after="0"/>
      </w:pPr>
      <w:r>
        <w:t xml:space="preserve"/>
      </w:r>
    </w:p>
    <w:p>
      <w:pPr>
        <w:shd w:fill="1E1E2E" w:val="clear"/>
        <w:spacing w:before="80" w:after="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"payload": {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"prompt_id": "pmt_01HX...", "prompt_name": "customer_support_system",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"from_version": "v6", "to_version": "v7",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"from_env": "staging", "to_env": "production",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"approver_id": "usr_01HX...",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"approver_email": { "__redactable": true, "value": "priya@acme.com" },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"diff_summary": { "similarity_score": 0.84, "changed_segments": 3 },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"eval_gate_passed": true,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"ip_address": { "__redactable": true, "value": "203.0.113.5" }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}</w:t>
      </w:r>
    </w:p>
    <w:p>
      <w:pPr>
        <w:shd w:fill="1E1E2E" w:val="clear"/>
        <w:spacing w:before="0" w:after="8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pacing w:before="80" w:after="0"/>
      </w:pPr>
      <w:r>
        <w:t xml:space="preserve"/>
      </w:r>
    </w:p>
    <w:p>
      <w:pPr>
        <w:spacing w:before="200" w:after="60"/>
      </w:pPr>
      <w:r>
        <w:rPr>
          <w:rFonts w:ascii="Arial" w:cs="Arial" w:eastAsia="Arial" w:hAnsi="Arial"/>
          <w:b/>
          <w:bCs/>
          <w:color w:val="0B1F3A"/>
          <w:sz w:val="22"/>
          <w:szCs w:val="22"/>
        </w:rPr>
        <w:t xml:space="preserve">llm.guard.input.blocked  —  security event</w:t>
      </w:r>
    </w:p>
    <w:p>
      <w:pPr>
        <w:spacing w:before="60" w:after="100"/>
      </w:pPr>
      <w:r>
        <w:rPr>
          <w:rFonts w:ascii="Arial" w:cs="Arial" w:eastAsia="Arial" w:hAnsi="Arial"/>
          <w:color w:val="2D2D2D"/>
          <w:sz w:val="21"/>
          <w:szCs w:val="21"/>
        </w:rPr>
        <w:t xml:space="preserve">Emitted by promptguard. Contains enough detail for security investigation without exposing the original malicious content in plaintext.</w:t>
      </w:r>
    </w:p>
    <w:p>
      <w:pPr>
        <w:spacing w:before="40" w:after="0"/>
      </w:pPr>
      <w:r>
        <w:t xml:space="preserve"/>
      </w:r>
    </w:p>
    <w:p>
      <w:pPr>
        <w:shd w:fill="1E1E2E" w:val="clear"/>
        <w:spacing w:before="80" w:after="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"payload": {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"rule_id": "rule_prompt_injection_v2",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"risk_score": 0.94, "risk_level": "critical",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"detection_method": "pattern_match + llm_classifier",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"matched_patterns": ["ignore previous instructions"],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"input_hash": "sha256:f4a9b2...",  # hash only — never the original plaintext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"action_taken": "blocked",  # blocked | flagged | logged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"policy_id": "pol_enterprise_strict_v1"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}</w:t>
      </w:r>
    </w:p>
    <w:p>
      <w:pPr>
        <w:shd w:fill="1E1E2E" w:val="clear"/>
        <w:spacing w:before="0" w:after="8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pacing w:before="160" w:after="0"/>
      </w:pPr>
      <w:r>
        <w:t xml:space="preserve"/>
      </w:r>
    </w:p>
    <w:p>
      <w:pPr>
        <w:pStyle w:val="Heading1"/>
        <w:pBdr>
          <w:bottom w:val="single" w:color="1A56A0" w:sz="10" w:space="4"/>
        </w:pBdr>
        <w:spacing w:before="440" w:after="120"/>
      </w:pPr>
      <w:r>
        <w:rPr>
          <w:rFonts w:ascii="Arial" w:cs="Arial" w:eastAsia="Arial" w:hAnsi="Arial"/>
          <w:b/>
          <w:bCs/>
          <w:color w:val="0B1F3A"/>
          <w:sz w:val="30"/>
          <w:szCs w:val="30"/>
        </w:rPr>
        <w:t xml:space="preserve">4. Enterprise Features</w:t>
      </w:r>
    </w:p>
    <w:p>
      <w:pPr>
        <w:pStyle w:val="Heading2"/>
        <w:spacing w:before="300" w:after="80"/>
      </w:pPr>
      <w:r>
        <w:rPr>
          <w:rFonts w:ascii="Arial" w:cs="Arial" w:eastAsia="Arial" w:hAnsi="Arial"/>
          <w:b/>
          <w:bCs/>
          <w:color w:val="1A56A0"/>
          <w:sz w:val="25"/>
          <w:szCs w:val="25"/>
        </w:rPr>
        <w:t xml:space="preserve">4.1  Schema versioning &amp; migration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3200"/>
        <w:gridCol w:w="3760"/>
      </w:tblGrid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B1F3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Change Type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B1F3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Strategy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B1F3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Example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Add optional field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Backward-compatible — consumers that don't know the field ignore it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Adding model.provider in v1.1 — old consumers still work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Rename a field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NEVER — add the new name and deprecate old with a sunset date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Deprecate duration; add duration_ms; both present for 2 major versions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Remove a field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Requires major version bump with 6-month sunset window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Removing legacy latency field requires v2 + migration guide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Change a field type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Always a breaking change — requires major version bump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Changing cost from string to float requires a v2 schema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Add new event type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Fully backward-compatible — consumers filter by event_type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Adding llm.cache.hit in v1.2 is safe for all existing consumers</w:t>
            </w:r>
          </w:p>
        </w:tc>
      </w:tr>
    </w:tbl>
    <w:p>
      <w:pPr>
        <w:spacing w:before="80" w:after="0"/>
      </w:pPr>
      <w:r>
        <w:t xml:space="preserve"/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1"/>
          <w:szCs w:val="21"/>
        </w:rPr>
        <w:t xml:space="preserve">schema_version follows SemVer — patch for doc fixes, minor for new optional fields, major for breaking changes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1"/>
          <w:szCs w:val="21"/>
        </w:rPr>
        <w:t xml:space="preserve">Schema registry at https://schema.llm-toolkit.dev — JSON Schema per version, deprecation notices, changelog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1"/>
          <w:szCs w:val="21"/>
        </w:rPr>
        <w:t xml:space="preserve">Migration helpers: llm_schema.migrate.v1_to_v2(event) for automated field mapping across major versions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1"/>
          <w:szCs w:val="21"/>
        </w:rPr>
        <w:t xml:space="preserve">Compatibility checker: llm-schema check-compat --consumer promptlock --schema-version 1.2</w:t>
      </w:r>
    </w:p>
    <w:p>
      <w:pPr>
        <w:spacing w:before="80" w:after="0"/>
      </w:pPr>
      <w:r>
        <w:t xml:space="preserve"/>
      </w:r>
    </w:p>
    <w:p>
      <w:pPr>
        <w:pStyle w:val="Heading2"/>
        <w:spacing w:before="300" w:after="80"/>
      </w:pPr>
      <w:r>
        <w:rPr>
          <w:rFonts w:ascii="Arial" w:cs="Arial" w:eastAsia="Arial" w:hAnsi="Arial"/>
          <w:b/>
          <w:bCs/>
          <w:color w:val="1A56A0"/>
          <w:sz w:val="25"/>
          <w:szCs w:val="25"/>
        </w:rPr>
        <w:t xml:space="preserve">4.2  PII redaction framework</w:t>
      </w:r>
    </w:p>
    <w:p>
      <w:pPr>
        <w:spacing w:before="60" w:after="100"/>
      </w:pPr>
      <w:r>
        <w:rPr>
          <w:rFonts w:ascii="Arial" w:cs="Arial" w:eastAsia="Arial" w:hAnsi="Arial"/>
          <w:color w:val="2D2D2D"/>
          <w:sz w:val="21"/>
          <w:szCs w:val="21"/>
        </w:rPr>
        <w:t xml:space="preserve">The __redactable marker is built into the schema itself. Any payload field that may contain PII must be wrapped in a redactable object. Consumers apply policy at read time — original structure is preserved.</w:t>
      </w:r>
    </w:p>
    <w:p>
      <w:pPr>
        <w:spacing w:before="40" w:after="0"/>
      </w:pPr>
      <w:r>
        <w:t xml:space="preserve"/>
      </w:r>
    </w:p>
    <w:p>
      <w:pPr>
        <w:shd w:fill="1E1E2E" w:val="clear"/>
        <w:spacing w:before="80" w:after="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# Before redaction — field marked as redactable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"input": {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"__redactable": true,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"__sensitivity": "high",   # low | medium | high | pii | phi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"__pii_types": ["free_text", "possible_pii"],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"content": "Help me change the email for john.doe@acme.com"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}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# After policy.apply(event) — content scrubbed, structure preserved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"input": {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"__redactable": true, "__redacted": true,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"__redacted_at": "2026-02-15T14:32:01Z",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"__redacted_by": "llm-redact@0.2.1",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"content": "[REDACTED:free_text]"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}</w:t>
      </w:r>
    </w:p>
    <w:p>
      <w:pPr>
        <w:shd w:fill="1E1E2E" w:val="clear"/>
        <w:spacing w:before="0" w:after="8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pacing w:before="80" w:after="0"/>
      </w:pPr>
      <w:r>
        <w:t xml:space="preserve"/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1"/>
          <w:szCs w:val="21"/>
        </w:rPr>
        <w:t xml:space="preserve">Redaction policies configured per org, per event type, per sensitivity level — not hardcoded in tools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1"/>
          <w:szCs w:val="21"/>
        </w:rPr>
        <w:t xml:space="preserve">Every redaction emits an llm.redact.pii.redacted event — auditable, contains no PII itself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1"/>
          <w:szCs w:val="21"/>
        </w:rPr>
        <w:t xml:space="preserve">Original events can be stored in a high-security store with stricter access controls if required</w:t>
      </w:r>
    </w:p>
    <w:p>
      <w:pPr>
        <w:spacing w:before="80" w:after="0"/>
      </w:pPr>
      <w:r>
        <w:t xml:space="preserve"/>
      </w:r>
    </w:p>
    <w:p>
      <w:pPr>
        <w:pStyle w:val="Heading2"/>
        <w:spacing w:before="300" w:after="80"/>
      </w:pPr>
      <w:r>
        <w:rPr>
          <w:rFonts w:ascii="Arial" w:cs="Arial" w:eastAsia="Arial" w:hAnsi="Arial"/>
          <w:b/>
          <w:bCs/>
          <w:color w:val="1A56A0"/>
          <w:sz w:val="25"/>
          <w:szCs w:val="25"/>
        </w:rPr>
        <w:t xml:space="preserve">4.3  Tamper-evident audit chain</w:t>
      </w:r>
    </w:p>
    <w:p>
      <w:pPr>
        <w:spacing w:before="60" w:after="100"/>
      </w:pPr>
      <w:r>
        <w:rPr>
          <w:rFonts w:ascii="Arial" w:cs="Arial" w:eastAsia="Arial" w:hAnsi="Arial"/>
          <w:color w:val="2D2D2D"/>
          <w:sz w:val="21"/>
          <w:szCs w:val="21"/>
        </w:rPr>
        <w:t xml:space="preserve">Optional HMAC-SHA256 event chain makes tampering detectable without a blockchain or external service. Used by promptlock and any tool requiring compliance-grade audit logs.</w:t>
      </w:r>
    </w:p>
    <w:p>
      <w:pPr>
        <w:spacing w:before="40" w:after="0"/>
      </w:pPr>
      <w:r>
        <w:t xml:space="preserve"/>
      </w:r>
    </w:p>
    <w:p>
      <w:pPr>
        <w:shd w:fill="1E1E2E" w:val="clear"/>
        <w:spacing w:before="80" w:after="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# checksum  = SHA-256 of canonical JSON of 'payload'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# signature = HMAC-SHA256(event_id + checksum + prev_id, org_secret)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# prev_id   = event_id of the previous event in the stream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from llm_schema.audit import verify_chain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result = verify_chain(events, org_secret='...')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# result.valid          → True/False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# result.first_tampered → event_id of first modified event, or None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# result.gaps           → list of missing prev_id links (deletions visible)</w:t>
      </w:r>
    </w:p>
    <w:p>
      <w:pPr>
        <w:shd w:fill="1E1E2E" w:val="clear"/>
        <w:spacing w:before="0" w:after="8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pacing w:before="80" w:after="0"/>
      </w:pPr>
      <w:r>
        <w:t xml:space="preserve"/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1"/>
          <w:szCs w:val="21"/>
        </w:rPr>
        <w:t xml:space="preserve">Gaps in the chain (missing events) are detectable — tampering by deletion is visible, not just modification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1"/>
          <w:szCs w:val="21"/>
        </w:rPr>
        <w:t xml:space="preserve">Enterprise customers verify chains independently with their own secret — no dependency on hosted infrastructure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1"/>
          <w:szCs w:val="21"/>
        </w:rPr>
        <w:t xml:space="preserve">Key rotation is itself a schema-level audit event — rotation history is part of the tamper-evident chain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1"/>
          <w:szCs w:val="21"/>
        </w:rPr>
        <w:t xml:space="preserve">Enterprise option: HSM-backed signing keys at v1.1</w:t>
      </w:r>
    </w:p>
    <w:p>
      <w:pPr>
        <w:spacing w:before="80" w:after="0"/>
      </w:pPr>
      <w:r>
        <w:t xml:space="preserve"/>
      </w:r>
    </w:p>
    <w:p>
      <w:pPr>
        <w:pStyle w:val="Heading2"/>
        <w:spacing w:before="300" w:after="80"/>
      </w:pPr>
      <w:r>
        <w:rPr>
          <w:rFonts w:ascii="Arial" w:cs="Arial" w:eastAsia="Arial" w:hAnsi="Arial"/>
          <w:b/>
          <w:bCs/>
          <w:color w:val="1A56A0"/>
          <w:sz w:val="25"/>
          <w:szCs w:val="25"/>
        </w:rPr>
        <w:t xml:space="preserve">4.4  OpenTelemetry export</w:t>
      </w:r>
    </w:p>
    <w:p>
      <w:pPr>
        <w:spacing w:before="60" w:after="100"/>
      </w:pPr>
      <w:r>
        <w:rPr>
          <w:rFonts w:ascii="Arial" w:cs="Arial" w:eastAsia="Arial" w:hAnsi="Arial"/>
          <w:color w:val="2D2D2D"/>
          <w:sz w:val="21"/>
          <w:szCs w:val="21"/>
        </w:rPr>
        <w:t xml:space="preserve">Every llm-schema event serialises to a valid OTLP span or log record with zero custom code.</w:t>
      </w:r>
    </w:p>
    <w:p>
      <w:pPr>
        <w:spacing w:before="40" w:after="0"/>
      </w:pPr>
      <w:r>
        <w:t xml:space="preserve"/>
      </w:r>
    </w:p>
    <w:p>
      <w:pPr>
        <w:shd w:fill="1E1E2E" w:val="clear"/>
        <w:spacing w:before="80" w:after="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from llm_schema.export.otlp import OTLPExporter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exporter = OTLPExporter(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endpoint="https://otel-collector.acme.com:4317",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headers={"Authorization": "Bearer ..."},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  resource_attributes={"service.name": "my-agent", "deployment.environment": "production"}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)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exporter.export(events)  # works with Datadog, Grafana, Honeycomb, Jaeger, Splunk</w:t>
      </w:r>
    </w:p>
    <w:p>
      <w:pPr>
        <w:shd w:fill="1E1E2E" w:val="clear"/>
        <w:spacing w:before="0" w:after="8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pacing w:before="80" w:after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1800"/>
        <w:gridCol w:w="5360"/>
      </w:tblGrid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B1F3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Backend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B1F3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Protocol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B1F3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Mapping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Datadog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OTLP gRPC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Spans → APM traces. Tags → span tags. cost_usd → custom metric.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Grafana / Tempo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OTLP gRPC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Spans → distributed traces. Events → Loki logs.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Honeycomb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OTLP HTTP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All payload fields exposed as trace fields — full query capability.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Splunk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HEC / OTLP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Events → Splunk events. Audit chain verified in immutable index.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Elastic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OTLP direct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ECS-mapped documents. Searchable by all envelope and payload fields.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AWS CloudWatch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CloudWatch Logs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Via OTLP Collector → EMF format for cost metrics.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Custom SIEM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Webhook / HTTP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JSON via configurable webhook with HMAC-SHA256 verification.</w:t>
            </w:r>
          </w:p>
        </w:tc>
      </w:tr>
    </w:tbl>
    <w:p>
      <w:pPr>
        <w:spacing w:before="80" w:after="0"/>
      </w:pPr>
      <w:r>
        <w:t xml:space="preserve"/>
      </w:r>
    </w:p>
    <w:p>
      <w:pPr>
        <w:pStyle w:val="Heading2"/>
        <w:spacing w:before="300" w:after="80"/>
      </w:pPr>
      <w:r>
        <w:rPr>
          <w:rFonts w:ascii="Arial" w:cs="Arial" w:eastAsia="Arial" w:hAnsi="Arial"/>
          <w:b/>
          <w:bCs/>
          <w:color w:val="1A56A0"/>
          <w:sz w:val="25"/>
          <w:szCs w:val="25"/>
        </w:rPr>
        <w:t xml:space="preserve">4.5  Schema registry &amp; governance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1"/>
          <w:szCs w:val="21"/>
        </w:rPr>
        <w:t xml:space="preserve">Public registry at https://schema.llm-toolkit.dev — JSON Schema per version, machine-readable deprecation notices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1"/>
          <w:szCs w:val="21"/>
        </w:rPr>
        <w:t xml:space="preserve">Enterprise private mirror: run behind your firewall — air-gapped deployments supported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1"/>
          <w:szCs w:val="21"/>
        </w:rPr>
        <w:t xml:space="preserve">Consumer registration: tools declare which versions and namespaces they consume — registry alerts on breaking changes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1"/>
          <w:szCs w:val="21"/>
        </w:rPr>
        <w:t xml:space="preserve">Schema pinning: enterprise orgs can mandate a specific schema version across all tools in their deployment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1"/>
          <w:szCs w:val="21"/>
        </w:rPr>
        <w:t xml:space="preserve">Governance API: block tools from emitting deprecated event types — enforced at the collector layer</w:t>
      </w:r>
    </w:p>
    <w:p>
      <w:pPr>
        <w:spacing w:before="80" w:after="0"/>
      </w:pPr>
      <w:r>
        <w:t xml:space="preserve"/>
      </w:r>
    </w:p>
    <w:p>
      <w:pPr>
        <w:pStyle w:val="Heading2"/>
        <w:spacing w:before="300" w:after="80"/>
      </w:pPr>
      <w:r>
        <w:rPr>
          <w:rFonts w:ascii="Arial" w:cs="Arial" w:eastAsia="Arial" w:hAnsi="Arial"/>
          <w:b/>
          <w:bCs/>
          <w:color w:val="1A56A0"/>
          <w:sz w:val="25"/>
          <w:szCs w:val="25"/>
        </w:rPr>
        <w:t xml:space="preserve">4.6  Multi-tenancy &amp; data isolation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1"/>
          <w:szCs w:val="21"/>
        </w:rPr>
        <w:t xml:space="preserve">org_id is a top-level envelope field — routing enforced at infrastructure layer before payload parsing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1"/>
          <w:szCs w:val="21"/>
        </w:rPr>
        <w:t xml:space="preserve">All events partitioned by org_id at storage layer — no cross-org query possible without explicit permission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1"/>
          <w:szCs w:val="21"/>
        </w:rPr>
        <w:t xml:space="preserve">Tenant isolation test suite: llm_schema.compliance.test_isolation — enterprises run this against their own deployment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1"/>
          <w:szCs w:val="21"/>
        </w:rPr>
        <w:t xml:space="preserve">Custom required fields: enterprises register mandatory tags or envelope fields on top of the base schema</w:t>
      </w:r>
    </w:p>
    <w:p>
      <w:pPr>
        <w:spacing w:before="160" w:after="0"/>
      </w:pPr>
      <w:r>
        <w:t xml:space="preserve"/>
      </w:r>
    </w:p>
    <w:p>
      <w:pPr>
        <w:pStyle w:val="Heading1"/>
        <w:pBdr>
          <w:bottom w:val="single" w:color="1A56A0" w:sz="10" w:space="4"/>
        </w:pBdr>
        <w:spacing w:before="440" w:after="120"/>
      </w:pPr>
      <w:r>
        <w:rPr>
          <w:rFonts w:ascii="Arial" w:cs="Arial" w:eastAsia="Arial" w:hAnsi="Arial"/>
          <w:b/>
          <w:bCs/>
          <w:color w:val="0B1F3A"/>
          <w:sz w:val="30"/>
          <w:szCs w:val="30"/>
        </w:rPr>
        <w:t xml:space="preserve">5. Python API Specification</w:t>
      </w:r>
    </w:p>
    <w:p>
      <w:pPr>
        <w:pStyle w:val="Heading2"/>
        <w:spacing w:before="300" w:after="80"/>
      </w:pPr>
      <w:r>
        <w:rPr>
          <w:rFonts w:ascii="Arial" w:cs="Arial" w:eastAsia="Arial" w:hAnsi="Arial"/>
          <w:b/>
          <w:bCs/>
          <w:color w:val="1A56A0"/>
          <w:sz w:val="25"/>
          <w:szCs w:val="25"/>
        </w:rPr>
        <w:t xml:space="preserve">5.1  Creating events (tool authors)</w:t>
      </w:r>
    </w:p>
    <w:p>
      <w:pPr>
        <w:shd w:fill="1E1E2E" w:val="clear"/>
        <w:spacing w:before="80" w:after="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from llm_schema import Event, EventType, Tags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from llm_schema.namespaces.trace import SpanCompletedPayload, ModelInfo, TokenUsage, ToolCall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from llm_schema.redact import Redactable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payload = SpanCompletedPayload(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span_name='run_support_agent', span_kind='agent', status='ok',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start_time=start, end_time=end, duration_ms=2721,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model=ModelInfo(name='gpt-4o', provider='openai', temperature=0.7),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usage=TokenUsage(prompt_tokens=312, completion_tokens=189, cost_usd=0.00412),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input=Redactable('User asked about refund...', sensitivity='high'),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output=Redactable('I can help with that...', sensitivity='high'),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tool_calls=[ToolCall(tool_name='lookup_order', ...)]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)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event = Event(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event_type=EventType.TRACE_SPAN_COMPLETED,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source='llm-trace@0.3.1',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payload=payload,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tags=Tags(env='production', model='gpt-4o'),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trace_id=current_trace_id,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)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event.validate()           # raises SchemaValidationError if invalid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event.sign(org_secret)     # adds checksum + signature + prev_id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json_str = event.to_json() # canonical JSON string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otlp     = event.to_otlp() # opentelemetry Span object</w:t>
      </w:r>
    </w:p>
    <w:p>
      <w:pPr>
        <w:shd w:fill="1E1E2E" w:val="clear"/>
        <w:spacing w:before="0" w:after="8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pacing w:before="80" w:after="0"/>
      </w:pPr>
      <w:r>
        <w:t xml:space="preserve"/>
      </w:r>
    </w:p>
    <w:p>
      <w:pPr>
        <w:pStyle w:val="Heading2"/>
        <w:spacing w:before="300" w:after="80"/>
      </w:pPr>
      <w:r>
        <w:rPr>
          <w:rFonts w:ascii="Arial" w:cs="Arial" w:eastAsia="Arial" w:hAnsi="Arial"/>
          <w:b/>
          <w:bCs/>
          <w:color w:val="1A56A0"/>
          <w:sz w:val="25"/>
          <w:szCs w:val="25"/>
        </w:rPr>
        <w:t xml:space="preserve">5.2  Consuming and routing events</w:t>
      </w:r>
    </w:p>
    <w:p>
      <w:pPr>
        <w:shd w:fill="1E1E2E" w:val="clear"/>
        <w:spacing w:before="80" w:after="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from llm_schema import EventStream, EventType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from llm_schema.export.otlp import OTLPExporter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stream = EventStream.from_file('events.jsonl')  # or .from_queue(), .from_kafka()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# Filter and process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for event in stream.filter(event_type=EventType.TRACE_SPAN_COMPLETED):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  print(f'${event.payload.usage.cost_usd:.4f}')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# Route to multiple backends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stream.route(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OTLPExporter(endpoint='https://otel.acme.com:4317'),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filter=lambda e: e.tags.env == 'production'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)</w:t>
      </w:r>
    </w:p>
    <w:p>
      <w:pPr>
        <w:shd w:fill="1E1E2E" w:val="clear"/>
        <w:spacing w:before="0" w:after="8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pacing w:before="80" w:after="0"/>
      </w:pPr>
      <w:r>
        <w:t xml:space="preserve"/>
      </w:r>
    </w:p>
    <w:p>
      <w:pPr>
        <w:pStyle w:val="Heading2"/>
        <w:spacing w:before="300" w:after="80"/>
      </w:pPr>
      <w:r>
        <w:rPr>
          <w:rFonts w:ascii="Arial" w:cs="Arial" w:eastAsia="Arial" w:hAnsi="Arial"/>
          <w:b/>
          <w:bCs/>
          <w:color w:val="1A56A0"/>
          <w:sz w:val="25"/>
          <w:szCs w:val="25"/>
        </w:rPr>
        <w:t xml:space="preserve">5.3  Redaction API</w:t>
      </w:r>
    </w:p>
    <w:p>
      <w:pPr>
        <w:shd w:fill="1E1E2E" w:val="clear"/>
        <w:spacing w:before="80" w:after="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from llm_schema.redact import RedactionPolicy, Sensitivity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policy = RedactionPolicy(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redact_above=Sensitivity.MEDIUM,  # redact medium, high, pii, phi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preserve_structure=True,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  hash_originals=True,              # store SHA-256 of original for audit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)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redacted = policy.apply(event)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assert not redacted.contains_pii()  # raises if PII found post-redact</w:t>
      </w:r>
    </w:p>
    <w:p>
      <w:pPr>
        <w:shd w:fill="1E1E2E" w:val="clear"/>
        <w:spacing w:before="0" w:after="8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pacing w:before="160" w:after="0"/>
      </w:pPr>
      <w:r>
        <w:t xml:space="preserve"/>
      </w:r>
    </w:p>
    <w:p>
      <w:pPr>
        <w:pStyle w:val="Heading1"/>
        <w:pBdr>
          <w:bottom w:val="single" w:color="1A56A0" w:sz="10" w:space="4"/>
        </w:pBdr>
        <w:spacing w:before="440" w:after="120"/>
      </w:pPr>
      <w:r>
        <w:rPr>
          <w:rFonts w:ascii="Arial" w:cs="Arial" w:eastAsia="Arial" w:hAnsi="Arial"/>
          <w:b/>
          <w:bCs/>
          <w:color w:val="0B1F3A"/>
          <w:sz w:val="30"/>
          <w:szCs w:val="30"/>
        </w:rPr>
        <w:t xml:space="preserve">6. Package Structure</w:t>
      </w:r>
    </w:p>
    <w:p>
      <w:pPr>
        <w:shd w:fill="1E1E2E" w:val="clear"/>
        <w:spacing w:before="80" w:after="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9CDCFE"/>
          <w:sz w:val="18"/>
          <w:szCs w:val="18"/>
        </w:rPr>
        <w:t xml:space="preserve">llm-schema/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├── llm_schema/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│   ├── __init__.py         # Event, EventType, Tags — public API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│   ├── event.py            # Base Event dataclass + validation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│   ├── types.py            # EventType enum — all namespaced event types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│   ├── redact.py           # RedactionPolicy, Redactable, Sensitivity levels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│   ├── signing.py          # HMAC chain: sign(), verify(), verify_chain()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│   ├── ulid.py             # ULID generation (zero external dependencies)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│   ├── namespaces/         # Per-tool payload schemas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│   │   ├── diff.py         # DiffComparisonPayload, DiffReportPayload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│   │   ├── prompt.py       # PromptSavedPayload, PromptPromotedPayload...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│   │   ├── trace.py        # SpanCompletedPayload, ToolCall, ModelInfo...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│   │   ├── cost.py         # CostRecordedPayload, BudgetThresholdPayload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│   │   ├── eval_.py        # EvalScenarioPayload, EvalRegressionPayload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│   │   └── guard.py        # GuardBlockedPayload, GuardFlaggedPayload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│   ├── export/             # Backend exporters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│   │   ├── otlp.py         # OTLPExporter (spans + logs)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│   │   ├── webhook.py      # WebhookExporter with HMAC-SHA256 signing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│   │   ├── jsonl.py        # JSONL file exporter (local dev)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│   │   └── datadog.py      # Datadog-specific metric + trace exporter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│   ├── stream.py           # EventStream: from_file, from_queue, filter, route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│   ├── validate.py         # JSON Schema validation against published spec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│   ├── migrate.py          # v1_to_v2() migration helpers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│   └── compliance/         # Enterprise test suites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│       ├── test_isolation.py  # Multi-tenant isolation verification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│       └── test_chain.py      # Audit chain integrity tests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├── schemas/v1.0/schema.json   # Published JSON Schema — stable URL</w:t>
      </w:r>
    </w:p>
    <w:p>
      <w:pPr>
        <w:shd w:fill="1E1E2E" w:val="clear"/>
        <w:spacing w:before="0" w:after="0"/>
        <w:ind w:left="360" w:right="360"/>
      </w:pPr>
      <w:r>
        <w:rPr>
          <w:rFonts w:ascii="Courier New" w:cs="Courier New" w:eastAsia="Courier New" w:hAnsi="Courier New"/>
          <w:color w:val="6A9955"/>
          <w:sz w:val="18"/>
          <w:szCs w:val="18"/>
        </w:rPr>
        <w:t xml:space="preserve">└── pyproject.toml</w:t>
      </w:r>
    </w:p>
    <w:p>
      <w:pPr>
        <w:shd w:fill="1E1E2E" w:val="clear"/>
        <w:spacing w:before="0" w:after="80"/>
        <w:ind w:left="360" w:right="360"/>
      </w:pPr>
      <w:r>
        <w:rPr>
          <w:rFonts w:ascii="Courier New" w:cs="Courier New" w:eastAsia="Courier New" w:hAnsi="Courier New"/>
          <w:color w:val="1E1E2E"/>
          <w:sz w:val="18"/>
          <w:szCs w:val="18"/>
        </w:rPr>
        <w:t xml:space="preserve"/>
      </w:r>
    </w:p>
    <w:p>
      <w:pPr>
        <w:spacing w:before="160" w:after="0"/>
      </w:pPr>
      <w:r>
        <w:t xml:space="preserve"/>
      </w:r>
    </w:p>
    <w:p>
      <w:pPr>
        <w:pStyle w:val="Heading1"/>
        <w:pBdr>
          <w:bottom w:val="single" w:color="1A56A0" w:sz="10" w:space="4"/>
        </w:pBdr>
        <w:spacing w:before="440" w:after="120"/>
      </w:pPr>
      <w:r>
        <w:rPr>
          <w:rFonts w:ascii="Arial" w:cs="Arial" w:eastAsia="Arial" w:hAnsi="Arial"/>
          <w:b/>
          <w:bCs/>
          <w:color w:val="0B1F3A"/>
          <w:sz w:val="30"/>
          <w:szCs w:val="30"/>
        </w:rPr>
        <w:t xml:space="preserve">7. Non-Functional Requirements</w:t>
      </w:r>
    </w:p>
    <w:p>
      <w:pPr>
        <w:spacing w:before="80" w:after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60"/>
        <w:gridCol w:w="4800"/>
      </w:tblGrid>
      <w:tr>
        <w:tc>
          <w:tcPr>
            <w:tcW w:type="dxa" w:w="45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280"/>
            </w:tcMar>
          </w:tcPr>
          <w:p>
            <w:pPr>
              <w:spacing w:before="200" w:after="60"/>
            </w:pPr>
            <w:r>
              <w:rPr>
                <w:rFonts w:ascii="Arial" w:cs="Arial" w:eastAsia="Arial" w:hAnsi="Arial"/>
                <w:b/>
                <w:bCs/>
                <w:color w:val="0B1F3A"/>
                <w:sz w:val="22"/>
                <w:szCs w:val="22"/>
              </w:rPr>
              <w:t xml:space="preserve">Performance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333333"/>
                <w:sz w:val="21"/>
                <w:szCs w:val="21"/>
              </w:rPr>
              <w:t xml:space="preserve">Event creation (no signing): &lt; 1ms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333333"/>
                <w:sz w:val="21"/>
                <w:szCs w:val="21"/>
              </w:rPr>
              <w:t xml:space="preserve">Event creation + HMAC signing: &lt; 5ms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333333"/>
                <w:sz w:val="21"/>
                <w:szCs w:val="21"/>
              </w:rPr>
              <w:t xml:space="preserve">JSON serialisation of 1,000 events: &lt; 50ms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333333"/>
                <w:sz w:val="21"/>
                <w:szCs w:val="21"/>
              </w:rPr>
              <w:t xml:space="preserve">OTLP export batch of 500 events: &lt; 200ms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333333"/>
                <w:sz w:val="21"/>
                <w:szCs w:val="21"/>
              </w:rPr>
              <w:t xml:space="preserve">Chain verification of 1M events: &lt; 30 seconds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333333"/>
                <w:sz w:val="21"/>
                <w:szCs w:val="21"/>
              </w:rPr>
              <w:t xml:space="preserve">Zero heap allocations on hot path — use __slots__</w:t>
            </w:r>
          </w:p>
          <w:p>
            <w:pPr>
              <w:spacing w:before="80" w:after="0"/>
            </w:pPr>
            <w:r>
              <w:t xml:space="preserve"/>
            </w:r>
          </w:p>
          <w:p>
            <w:pPr>
              <w:spacing w:before="200" w:after="60"/>
            </w:pPr>
            <w:r>
              <w:rPr>
                <w:rFonts w:ascii="Arial" w:cs="Arial" w:eastAsia="Arial" w:hAnsi="Arial"/>
                <w:b/>
                <w:bCs/>
                <w:color w:val="0B1F3A"/>
                <w:sz w:val="22"/>
                <w:szCs w:val="22"/>
              </w:rPr>
              <w:t xml:space="preserve">Compatibility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333333"/>
                <w:sz w:val="21"/>
                <w:szCs w:val="21"/>
              </w:rPr>
              <w:t xml:space="preserve">Python 3.9, 3.10, 3.11, 3.12 — all CI-tested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333333"/>
                <w:sz w:val="21"/>
                <w:szCs w:val="21"/>
              </w:rPr>
              <w:t xml:space="preserve">Zero required dependencies for core Event creation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333333"/>
                <w:sz w:val="21"/>
                <w:szCs w:val="21"/>
              </w:rPr>
              <w:t xml:space="preserve">Optional: pydantic, opentelemetry-sdk, httpx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333333"/>
                <w:sz w:val="21"/>
                <w:szCs w:val="21"/>
              </w:rPr>
              <w:t xml:space="preserve">Windows, macOS, Linux — no OS-specific code</w:t>
            </w:r>
          </w:p>
        </w:tc>
        <w:tc>
          <w:tcPr>
            <w:tcW w:type="dxa" w:w="48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280"/>
              <w:bottom w:type="dxa" w:w="0"/>
              <w:right w:type="dxa" w:w="0"/>
            </w:tcMar>
          </w:tcPr>
          <w:p>
            <w:pPr>
              <w:spacing w:before="200" w:after="60"/>
            </w:pPr>
            <w:r>
              <w:rPr>
                <w:rFonts w:ascii="Arial" w:cs="Arial" w:eastAsia="Arial" w:hAnsi="Arial"/>
                <w:b/>
                <w:bCs/>
                <w:color w:val="0B1F3A"/>
                <w:sz w:val="22"/>
                <w:szCs w:val="22"/>
              </w:rPr>
              <w:t xml:space="preserve">Reliability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333333"/>
                <w:sz w:val="21"/>
                <w:szCs w:val="21"/>
              </w:rPr>
              <w:t xml:space="preserve">All validation errors are typed exceptions — no bare raises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333333"/>
                <w:sz w:val="21"/>
                <w:szCs w:val="21"/>
              </w:rPr>
              <w:t xml:space="preserve">Signing failure never silently passes — always raises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333333"/>
                <w:sz w:val="21"/>
                <w:szCs w:val="21"/>
              </w:rPr>
              <w:t xml:space="preserve">Serialisation deterministic — same event, same JSON always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333333"/>
                <w:sz w:val="21"/>
                <w:szCs w:val="21"/>
              </w:rPr>
              <w:t xml:space="preserve">100% test coverage on Event, signing, redaction modules</w:t>
            </w:r>
          </w:p>
          <w:p>
            <w:pPr>
              <w:spacing w:before="80" w:after="0"/>
            </w:pPr>
            <w:r>
              <w:t xml:space="preserve"/>
            </w:r>
          </w:p>
          <w:p>
            <w:pPr>
              <w:spacing w:before="200" w:after="60"/>
            </w:pPr>
            <w:r>
              <w:rPr>
                <w:rFonts w:ascii="Arial" w:cs="Arial" w:eastAsia="Arial" w:hAnsi="Arial"/>
                <w:b/>
                <w:bCs/>
                <w:color w:val="0B1F3A"/>
                <w:sz w:val="22"/>
                <w:szCs w:val="22"/>
              </w:rPr>
              <w:t xml:space="preserve">Security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333333"/>
                <w:sz w:val="21"/>
                <w:szCs w:val="21"/>
              </w:rPr>
              <w:t xml:space="preserve">HMAC key never logged, never in stack traces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333333"/>
                <w:sz w:val="21"/>
                <w:szCs w:val="21"/>
              </w:rPr>
              <w:t xml:space="preserve">Redactable content excluded from exception messages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333333"/>
                <w:sz w:val="21"/>
                <w:szCs w:val="21"/>
              </w:rPr>
              <w:t xml:space="preserve">No network calls in core — all exporters are opt-in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333333"/>
                <w:sz w:val="21"/>
                <w:szCs w:val="21"/>
              </w:rPr>
              <w:t xml:space="preserve">SBOM published per release. PyPI releases signed via Sigstore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333333"/>
                <w:sz w:val="21"/>
                <w:szCs w:val="21"/>
              </w:rPr>
              <w:t xml:space="preserve">Dependency audit in CI on every PR</w:t>
            </w:r>
          </w:p>
        </w:tc>
      </w:tr>
    </w:tbl>
    <w:p>
      <w:pPr>
        <w:spacing w:before="160" w:after="0"/>
      </w:pPr>
      <w:r>
        <w:t xml:space="preserve"/>
      </w:r>
    </w:p>
    <w:p>
      <w:pPr>
        <w:pStyle w:val="Heading1"/>
        <w:pBdr>
          <w:bottom w:val="single" w:color="1A56A0" w:sz="10" w:space="4"/>
        </w:pBdr>
        <w:spacing w:before="440" w:after="120"/>
      </w:pPr>
      <w:r>
        <w:rPr>
          <w:rFonts w:ascii="Arial" w:cs="Arial" w:eastAsia="Arial" w:hAnsi="Arial"/>
          <w:b/>
          <w:bCs/>
          <w:color w:val="0B1F3A"/>
          <w:sz w:val="30"/>
          <w:szCs w:val="30"/>
        </w:rPr>
        <w:t xml:space="preserve">8. Third-Party Adoption</w:t>
      </w:r>
    </w:p>
    <w:p>
      <w:pPr>
        <w:spacing w:before="60" w:after="100"/>
      </w:pPr>
      <w:r>
        <w:rPr>
          <w:rFonts w:ascii="Arial" w:cs="Arial" w:eastAsia="Arial" w:hAnsi="Arial"/>
          <w:color w:val="2D2D2D"/>
          <w:sz w:val="21"/>
          <w:szCs w:val="21"/>
        </w:rPr>
        <w:t xml:space="preserve">llm-schema is designed for adoption by tools outside the llm-toolkit ecosystem. The more tools that emit compatible events, the more valuable the schema becomes for enterprise customers wanting unified observability across their entire AI stack.</w:t>
      </w:r>
    </w:p>
    <w:p>
      <w:pPr>
        <w:spacing w:before="80" w:after="0"/>
      </w:pPr>
      <w:r>
        <w:t xml:space="preserve"/>
      </w:r>
    </w:p>
    <w:p>
      <w:pPr>
        <w:pStyle w:val="Heading2"/>
        <w:spacing w:before="300" w:after="80"/>
      </w:pPr>
      <w:r>
        <w:rPr>
          <w:rFonts w:ascii="Arial" w:cs="Arial" w:eastAsia="Arial" w:hAnsi="Arial"/>
          <w:b/>
          <w:bCs/>
          <w:color w:val="1A56A0"/>
          <w:sz w:val="25"/>
          <w:szCs w:val="25"/>
        </w:rPr>
        <w:t xml:space="preserve">8.1  Requirements for compatibility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1"/>
          <w:szCs w:val="21"/>
        </w:rPr>
        <w:t xml:space="preserve">All REQUIRED envelope fields present and correctly typed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1"/>
          <w:szCs w:val="21"/>
        </w:rPr>
        <w:t xml:space="preserve">Uses a registered namespace or private x.* prefix (e.g. x.mycompany.trace.*)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1"/>
          <w:szCs w:val="21"/>
        </w:rPr>
        <w:t xml:space="preserve">Does not emit events in another tool's namespace without explicit permission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1"/>
          <w:szCs w:val="21"/>
        </w:rPr>
        <w:t xml:space="preserve">Passes the official compatibility test suite: llm_schema.compliance.test_compatibility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1"/>
          <w:szCs w:val="21"/>
        </w:rPr>
        <w:t xml:space="preserve">Includes schema_version in every event — never omitted</w:t>
      </w:r>
    </w:p>
    <w:p>
      <w:pPr>
        <w:spacing w:before="80" w:after="0"/>
      </w:pPr>
      <w:r>
        <w:t xml:space="preserve"/>
      </w:r>
    </w:p>
    <w:p>
      <w:pPr>
        <w:pStyle w:val="Heading2"/>
        <w:spacing w:before="300" w:after="80"/>
      </w:pPr>
      <w:r>
        <w:rPr>
          <w:rFonts w:ascii="Arial" w:cs="Arial" w:eastAsia="Arial" w:hAnsi="Arial"/>
          <w:b/>
          <w:bCs/>
          <w:color w:val="1A56A0"/>
          <w:sz w:val="25"/>
          <w:szCs w:val="25"/>
        </w:rPr>
        <w:t xml:space="preserve">8.2  Steps to adopt (under 2 hours for a simple tool)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1"/>
          <w:szCs w:val="21"/>
        </w:rPr>
        <w:t xml:space="preserve">Step 1: pip install llm-schema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1"/>
          <w:szCs w:val="21"/>
        </w:rPr>
        <w:t xml:space="preserve">Step 2: Define payload dataclass by subclassing Payload and registering your namespace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1"/>
          <w:szCs w:val="21"/>
        </w:rPr>
        <w:t xml:space="preserve">Step 3: Replace existing logging with Event(...).to_json()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1"/>
          <w:szCs w:val="21"/>
        </w:rPr>
        <w:t xml:space="preserve">Step 4: Run llm-schema validate-events ./events.jsonl to verify compliance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333333"/>
          <w:sz w:val="21"/>
          <w:szCs w:val="21"/>
        </w:rPr>
        <w:t xml:space="preserve">Step 5: Submit namespace registration PR — reviewed and merged within 48 hours</w:t>
      </w:r>
    </w:p>
    <w:p>
      <w:pPr>
        <w:spacing w:before="80" w:after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"/>
        <w:gridCol w:w="9100"/>
      </w:tblGrid>
      <w:tr>
        <w:tc>
          <w:tcPr>
            <w:tcW w:type="dxa" w:w="2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0C5F5F" w:val="clear"/>
          </w:tcPr>
          <w:p>
            <w:r>
              <w:t xml:space="preserve"/>
            </w:r>
          </w:p>
        </w:tc>
        <w:tc>
          <w:tcPr>
            <w:tcW w:type="dxa" w:w="91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CCEFEF" w:val="clear"/>
            <w:tcMar>
              <w:top w:type="dxa" w:w="120"/>
              <w:left w:type="dxa" w:w="200"/>
              <w:bottom w:type="dxa" w:w="120"/>
              <w:right w:type="dxa" w:w="160"/>
            </w:tcMar>
          </w:tcPr>
          <w:p>
            <w:pPr>
              <w:spacing w:before="0" w:after="40"/>
            </w:pPr>
            <w:r>
              <w:rPr>
                <w:rFonts w:ascii="Arial" w:cs="Arial" w:eastAsia="Arial" w:hAnsi="Arial"/>
                <w:b/>
                <w:bCs/>
                <w:color w:val="0C5F5F"/>
                <w:sz w:val="19"/>
                <w:szCs w:val="19"/>
              </w:rPr>
              <w:t xml:space="preserve">ECOSYSTEM GOAL</w:t>
            </w:r>
          </w:p>
          <w:p>
            <w:r>
              <w:rPr>
                <w:rFonts w:ascii="Arial" w:cs="Arial" w:eastAsia="Arial" w:hAnsi="Arial"/>
                <w:color w:val="1A1A1A"/>
                <w:sz w:val="21"/>
                <w:szCs w:val="21"/>
              </w:rPr>
              <w:t xml:space="preserve">Every major LLM framework (LangChain, LlamaIndex, AutoGen, DSPy) should emit llm-schema events by v1.2. This requires dedicated integration work — not just publishing the spec. Budget one sprint per framework for integration support. The network effect is the long-term moat.</w:t>
            </w:r>
          </w:p>
        </w:tc>
      </w:tr>
    </w:tbl>
    <w:p>
      <w:pPr>
        <w:spacing w:before="160" w:after="0"/>
      </w:pPr>
      <w:r>
        <w:t xml:space="preserve"/>
      </w:r>
    </w:p>
    <w:p>
      <w:pPr>
        <w:pStyle w:val="Heading1"/>
        <w:pBdr>
          <w:bottom w:val="single" w:color="1A56A0" w:sz="10" w:space="4"/>
        </w:pBdr>
        <w:spacing w:before="440" w:after="120"/>
      </w:pPr>
      <w:r>
        <w:rPr>
          <w:rFonts w:ascii="Arial" w:cs="Arial" w:eastAsia="Arial" w:hAnsi="Arial"/>
          <w:b/>
          <w:bCs/>
          <w:color w:val="0B1F3A"/>
          <w:sz w:val="30"/>
          <w:szCs w:val="30"/>
        </w:rPr>
        <w:t xml:space="preserve">9. Release Roadmap</w:t>
      </w:r>
    </w:p>
    <w:p>
      <w:pPr>
        <w:spacing w:before="80" w:after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1400"/>
        <w:gridCol w:w="6160"/>
        <w:gridCol w:w="600"/>
      </w:tblGrid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B1F3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Version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B1F3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Timeline</w:t>
            </w:r>
          </w:p>
        </w:tc>
        <w:tc>
          <w:tcPr>
            <w:tcW w:type="dxa" w:w="6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B1F3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Features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B1F3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Breaking?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v0.1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Week 1</w:t>
            </w:r>
          </w:p>
        </w:tc>
        <w:tc>
          <w:tcPr>
            <w:tcW w:type="dxa" w:w="6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Core Event, EventType enum, JSON serialisation, basic validation. Zero external deps.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—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v0.2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Week 2</w:t>
            </w:r>
          </w:p>
        </w:tc>
        <w:tc>
          <w:tcPr>
            <w:tcW w:type="dxa" w:w="6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Pydantic models for all payloads. Redactable field support. RedactionPolicy API.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—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v0.3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Week 3</w:t>
            </w:r>
          </w:p>
        </w:tc>
        <w:tc>
          <w:tcPr>
            <w:tcW w:type="dxa" w:w="6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HMAC signing + chain verification. verify_chain() API. AuditStream class.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—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v0.4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Week 4</w:t>
            </w:r>
          </w:p>
        </w:tc>
        <w:tc>
          <w:tcPr>
            <w:tcW w:type="dxa" w:w="6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OTLP exporter. WebhookExporter with HMAC signing. EventStream routing API.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—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v0.5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Week 5</w:t>
            </w:r>
          </w:p>
        </w:tc>
        <w:tc>
          <w:tcPr>
            <w:tcW w:type="dxa" w:w="6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All namespace payloads (diff, prompt, trace, cost, eval, guard, redact). JSON Schema published.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—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v1.0 GA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Week 6</w:t>
            </w:r>
          </w:p>
        </w:tc>
        <w:tc>
          <w:tcPr>
            <w:tcW w:type="dxa" w:w="6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Full compliance test suite. Schema registry live. Signed PyPI. SBOM. Migration scaffold.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—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v1.1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Month 3</w:t>
            </w:r>
          </w:p>
        </w:tc>
        <w:tc>
          <w:tcPr>
            <w:tcW w:type="dxa" w:w="6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Datadog exporter. Grafana / Loki. Kafka EventStream. Consumer registration API.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No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v1.2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Month 5</w:t>
            </w:r>
          </w:p>
        </w:tc>
        <w:tc>
          <w:tcPr>
            <w:tcW w:type="dxa" w:w="6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LangChain + LlamaIndex integration packages. Private registry. Deprecation tooling.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No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v2.0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12+ mo</w:t>
            </w:r>
          </w:p>
        </w:tc>
        <w:tc>
          <w:tcPr>
            <w:tcW w:type="dxa" w:w="6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Breaking changes from v1.x feedback. Full migration guide. 6-month deprecation window.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Yes</w:t>
            </w:r>
          </w:p>
        </w:tc>
      </w:tr>
    </w:tbl>
    <w:p>
      <w:pPr>
        <w:spacing w:before="160" w:after="0"/>
      </w:pPr>
      <w:r>
        <w:t xml:space="preserve"/>
      </w:r>
    </w:p>
    <w:p>
      <w:pPr>
        <w:pStyle w:val="Heading1"/>
        <w:pBdr>
          <w:bottom w:val="single" w:color="1A56A0" w:sz="10" w:space="4"/>
        </w:pBdr>
        <w:spacing w:before="440" w:after="120"/>
      </w:pPr>
      <w:r>
        <w:rPr>
          <w:rFonts w:ascii="Arial" w:cs="Arial" w:eastAsia="Arial" w:hAnsi="Arial"/>
          <w:b/>
          <w:bCs/>
          <w:color w:val="0B1F3A"/>
          <w:sz w:val="30"/>
          <w:szCs w:val="30"/>
        </w:rPr>
        <w:t xml:space="preserve">10. Risk Register</w:t>
      </w:r>
    </w:p>
    <w:p>
      <w:pPr>
        <w:spacing w:before="80" w:after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1360"/>
        <w:gridCol w:w="4800"/>
      </w:tblGrid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B1F3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Risk</w:t>
            </w:r>
          </w:p>
        </w:tc>
        <w:tc>
          <w:tcPr>
            <w:tcW w:type="dxa" w:w="1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B1F3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Severity</w:t>
            </w:r>
          </w:p>
        </w:tc>
        <w:tc>
          <w:tcPr>
            <w:tcW w:type="dxa" w:w="4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B1F3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Mitigation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Schema designed too narrowly — can't express future event types</w:t>
            </w:r>
          </w:p>
        </w:tc>
        <w:tc>
          <w:tcPr>
            <w:tcW w:type="dxa" w:w="1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EE2E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Critical</w:t>
            </w:r>
          </w:p>
        </w:tc>
        <w:tc>
          <w:tcPr>
            <w:tcW w:type="dxa" w:w="4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Review with authors of all 17 planned tools before v1.0 freeze. Require a concrete use case from each namespace owner.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OTel spec evolves and schema becomes incompatible</w:t>
            </w:r>
          </w:p>
        </w:tc>
        <w:tc>
          <w:tcPr>
            <w:tcW w:type="dxa" w:w="1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EF3C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Medium</w:t>
            </w:r>
          </w:p>
        </w:tc>
        <w:tc>
          <w:tcPr>
            <w:tcW w:type="dxa" w:w="4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Track OTel semantic conventions (semconv) from day one — not just the OTLP wire format.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Namespace collisions between tools</w:t>
            </w:r>
          </w:p>
        </w:tc>
        <w:tc>
          <w:tcPr>
            <w:tcW w:type="dxa" w:w="1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EF3C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Medium</w:t>
            </w:r>
          </w:p>
        </w:tc>
        <w:tc>
          <w:tcPr>
            <w:tcW w:type="dxa" w:w="4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Registry enforces uniqueness. Tooling warns on unregistered namespaces. x.* prefix for unofficial tools.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PII leaks via fields not marked __redactable</w:t>
            </w:r>
          </w:p>
        </w:tc>
        <w:tc>
          <w:tcPr>
            <w:tcW w:type="dxa" w:w="1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EE2E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High</w:t>
            </w:r>
          </w:p>
        </w:tc>
        <w:tc>
          <w:tcPr>
            <w:tcW w:type="dxa" w:w="4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Security review of all payload schemas before v1.0. Static analysis flags unmarked string fields automatically.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Signing key compromise exposes audit chain</w:t>
            </w:r>
          </w:p>
        </w:tc>
        <w:tc>
          <w:tcPr>
            <w:tcW w:type="dxa" w:w="1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EE2E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High</w:t>
            </w:r>
          </w:p>
        </w:tc>
        <w:tc>
          <w:tcPr>
            <w:tcW w:type="dxa" w:w="4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Key rotation procedure documented and tested. Enterprise: HSM key storage option at v1.1.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Third-party adoption too slow — ecosystem doesn't form</w:t>
            </w:r>
          </w:p>
        </w:tc>
        <w:tc>
          <w:tcPr>
            <w:tcW w:type="dxa" w:w="1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EF3C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Medium</w:t>
            </w:r>
          </w:p>
        </w:tc>
        <w:tc>
          <w:tcPr>
            <w:tcW w:type="dxa" w:w="4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Invest in framework integration packages at v1.2. Make test_compatibility trivial to run.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Performance overhead makes tools feel sluggish</w:t>
            </w:r>
          </w:p>
        </w:tc>
        <w:tc>
          <w:tcPr>
            <w:tcW w:type="dxa" w:w="1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CFCE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Low</w:t>
            </w:r>
          </w:p>
        </w:tc>
        <w:tc>
          <w:tcPr>
            <w:tcW w:type="dxa" w:w="4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Benchmark on hot path in CI. Async export by default — no blocking in tool's critical path.</w:t>
            </w:r>
          </w:p>
        </w:tc>
      </w:tr>
    </w:tbl>
    <w:p>
      <w:pPr>
        <w:spacing w:before="160" w:after="0"/>
      </w:pPr>
      <w:r>
        <w:t xml:space="preserve"/>
      </w:r>
    </w:p>
    <w:p>
      <w:pPr>
        <w:pStyle w:val="Heading1"/>
        <w:pBdr>
          <w:bottom w:val="single" w:color="1A56A0" w:sz="10" w:space="4"/>
        </w:pBdr>
        <w:spacing w:before="440" w:after="120"/>
      </w:pPr>
      <w:r>
        <w:rPr>
          <w:rFonts w:ascii="Arial" w:cs="Arial" w:eastAsia="Arial" w:hAnsi="Arial"/>
          <w:b/>
          <w:bCs/>
          <w:color w:val="0B1F3A"/>
          <w:sz w:val="30"/>
          <w:szCs w:val="30"/>
        </w:rPr>
        <w:t xml:space="preserve">11. Success Metrics</w:t>
      </w:r>
    </w:p>
    <w:p>
      <w:pPr>
        <w:spacing w:before="80" w:after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400"/>
        <w:gridCol w:w="1800"/>
        <w:gridCol w:w="2000"/>
        <w:gridCol w:w="2160"/>
      </w:tblGrid>
      <w:tr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B1F3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Metric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B1F3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At v1.0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B1F3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At 6 Months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B1F3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At 12 Months</w:t>
            </w:r>
          </w:p>
        </w:tc>
      </w:tr>
      <w:tr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PyPI downloads / month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500+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5,000+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25,000+</w:t>
            </w:r>
          </w:p>
        </w:tc>
      </w:tr>
      <w:tr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GitHub stars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100+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500+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2,000+</w:t>
            </w:r>
          </w:p>
        </w:tc>
      </w:tr>
      <w:tr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llm-toolkit tools emitting schema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2 (llm-diff + promptlock)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6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All 17</w:t>
            </w:r>
          </w:p>
        </w:tc>
      </w:tr>
      <w:tr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Third-party tools registered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0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3+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10+</w:t>
            </w:r>
          </w:p>
        </w:tc>
      </w:tr>
      <w:tr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Framework integrations (LangChain etc.)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0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1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3+</w:t>
            </w:r>
          </w:p>
        </w:tc>
      </w:tr>
      <w:tr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Enterprise customers routing to Datadog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1 (design partner)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5+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20+</w:t>
            </w:r>
          </w:p>
        </w:tc>
      </w:tr>
      <w:tr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Compliance test suite pass rate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100%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100%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100%</w:t>
            </w:r>
          </w:p>
        </w:tc>
      </w:tr>
      <w:tr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Open schema breaking-change proposals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0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0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0</w:t>
            </w:r>
          </w:p>
        </w:tc>
      </w:tr>
    </w:tbl>
    <w:p>
      <w:pPr>
        <w:spacing w:before="160" w:after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"/>
        <w:gridCol w:w="9100"/>
      </w:tblGrid>
      <w:tr>
        <w:tc>
          <w:tcPr>
            <w:tcW w:type="dxa" w:w="2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7F1D1D" w:val="clear"/>
          </w:tcPr>
          <w:p>
            <w:r>
              <w:t xml:space="preserve"/>
            </w:r>
          </w:p>
        </w:tc>
        <w:tc>
          <w:tcPr>
            <w:tcW w:type="dxa" w:w="91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EE2E2" w:val="clear"/>
            <w:tcMar>
              <w:top w:type="dxa" w:w="120"/>
              <w:left w:type="dxa" w:w="200"/>
              <w:bottom w:type="dxa" w:w="120"/>
              <w:right w:type="dxa" w:w="160"/>
            </w:tcMar>
          </w:tcPr>
          <w:p>
            <w:pPr>
              <w:spacing w:before="0" w:after="40"/>
            </w:pPr>
            <w:r>
              <w:rPr>
                <w:rFonts w:ascii="Arial" w:cs="Arial" w:eastAsia="Arial" w:hAnsi="Arial"/>
                <w:b/>
                <w:bCs/>
                <w:color w:val="7F1D1D"/>
                <w:sz w:val="19"/>
                <w:szCs w:val="19"/>
              </w:rPr>
              <w:t xml:space="preserve">THE ONE RULE — FINAL</w:t>
            </w:r>
          </w:p>
          <w:p>
            <w:r>
              <w:rPr>
                <w:rFonts w:ascii="Arial" w:cs="Arial" w:eastAsia="Arial" w:hAnsi="Arial"/>
                <w:color w:val="1A1A1A"/>
                <w:sz w:val="21"/>
                <w:szCs w:val="21"/>
              </w:rPr>
              <w:t xml:space="preserve">Do not start building promptlock, llm-trace, or any other tool until llm-schema v0.5 is complete and all namespace payload schemas are defined and reviewed. One week of careful schema design saves months of migration work later. This is the highest-leverage decision in the entire ecosystem.</w:t>
            </w:r>
          </w:p>
        </w:tc>
      </w:tr>
    </w:tbl>
    <w:p>
      <w:pPr>
        <w:spacing w:before="160" w:after="0"/>
      </w:pPr>
      <w:r>
        <w:t xml:space="preserve"/>
      </w:r>
    </w:p>
    <w:p>
      <w:pPr>
        <w:pBdr>
          <w:top w:val="single" w:color="DDDDDD" w:sz="4" w:space="12"/>
        </w:pBdr>
        <w:spacing w:before="480"/>
        <w:jc w:val="center"/>
      </w:pPr>
      <w:r>
        <w:rPr>
          <w:rFonts w:ascii="Arial" w:cs="Arial" w:eastAsia="Arial" w:hAnsi="Arial"/>
          <w:i/>
          <w:iCs/>
          <w:color w:val="AAAAAA"/>
          <w:sz w:val="17"/>
          <w:szCs w:val="17"/>
        </w:rPr>
        <w:t xml:space="preserve">llm-schema  •  Enterprise Product Specification  •  v1.0  •  February 2026  •  Confidential</w:t>
      </w:r>
    </w:p>
    <w:sectPr>
      <w:headerReference w:type="default" r:id="rId6"/>
      <w:footerReference w:type="default" r:id="rId7"/>
      <w:pgSz w:w="12240" w:h="15840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4" w:space="4"/>
      </w:pBdr>
      <w:tabs>
        <w:tab w:val="right" w:pos="9026"/>
      </w:tabs>
    </w:pPr>
    <w:r>
      <w:rPr>
        <w:rFonts w:ascii="Arial" w:cs="Arial" w:eastAsia="Arial" w:hAnsi="Arial"/>
        <w:color w:val="64748B"/>
        <w:sz w:val="17"/>
        <w:szCs w:val="17"/>
      </w:rPr>
      <w:t xml:space="preserve">llm-schema  •  All rights reserved</w:t>
    </w:r>
    <w:r>
      <w:rPr>
        <w:rFonts w:ascii="Arial" w:cs="Arial" w:eastAsia="Arial" w:hAnsi="Arial"/>
        <w:color w:val="64748B"/>
        <w:sz w:val="17"/>
        <w:szCs w:val="17"/>
      </w:rPr>
      <w:t xml:space="preserve">	Page </w:t>
    </w:r>
    <w:r>
      <w:rPr>
        <w:rFonts w:ascii="Arial" w:cs="Arial" w:eastAsia="Arial" w:hAnsi="Arial"/>
        <w:color w:val="64748B"/>
        <w:sz w:val="17"/>
        <w:szCs w:val="17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4" w:space="4"/>
      </w:pBdr>
      <w:tabs>
        <w:tab w:val="right" w:pos="9026"/>
      </w:tabs>
    </w:pPr>
    <w:r>
      <w:rPr>
        <w:rFonts w:ascii="Arial" w:cs="Arial" w:eastAsia="Arial" w:hAnsi="Arial"/>
        <w:color w:val="64748B"/>
        <w:sz w:val="18"/>
        <w:szCs w:val="18"/>
      </w:rPr>
      <w:t xml:space="preserve">llm-schema  •  Enterprise Product Specification  •  v1.0</w:t>
    </w:r>
    <w:r>
      <w:rPr>
        <w:rFonts w:ascii="Arial" w:cs="Arial" w:eastAsia="Arial" w:hAnsi="Arial"/>
        <w:color w:val="64748B"/>
        <w:sz w:val="18"/>
        <w:szCs w:val="18"/>
      </w:rPr>
      <w:t xml:space="preserve">	Confidential  |  February 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440" w:after="120"/>
      <w:outlineLvl w:val="0"/>
    </w:pPr>
    <w:rPr>
      <w:rFonts w:ascii="Arial" w:cs="Arial" w:eastAsia="Arial" w:hAnsi="Arial"/>
      <w:b/>
      <w:bCs/>
      <w:color w:val="0B1F3A"/>
      <w:sz w:val="30"/>
      <w:szCs w:val="30"/>
    </w:rPr>
  </w:style>
  <w:style w:type="paragraph" w:styleId="Heading2">
    <w:name w:val="Heading 2"/>
    <w:basedOn w:val="Normal"/>
    <w:next w:val="Normal"/>
    <w:qFormat/>
    <w:pPr>
      <w:spacing w:before="300" w:after="80"/>
      <w:outlineLvl w:val="1"/>
    </w:pPr>
    <w:rPr>
      <w:rFonts w:ascii="Arial" w:cs="Arial" w:eastAsia="Arial" w:hAnsi="Arial"/>
      <w:b/>
      <w:bCs/>
      <w:color w:val="1A56A0"/>
      <w:sz w:val="25"/>
      <w:szCs w:val="25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2026-02-28T16:28:19.974Z</dcterms:created>
  <dcterms:modified xsi:type="dcterms:W3CDTF">2026-02-28T16:28:19.975Z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