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5"/>
        <w:pBdr/>
        <w:spacing/>
        <w:ind w:right="0" w:firstLine="0" w:left="270"/>
        <w:rPr>
          <w:sz w:val="40"/>
          <w:szCs w:val="40"/>
        </w:rPr>
      </w:pPr>
      <w:r>
        <w:rPr>
          <w:rStyle w:val="898"/>
          <w:sz w:val="40"/>
          <w:szCs w:val="40"/>
        </w:rPr>
        <w:t xml:space="preserve">Comparison of Minimax and Gradient Stability Estimation Methods</w:t>
      </w:r>
      <w:r>
        <w:rPr>
          <w:sz w:val="40"/>
          <w:szCs w:val="40"/>
        </w:rPr>
      </w:r>
      <w:r>
        <w:rPr>
          <w:sz w:val="40"/>
          <w:szCs w:val="40"/>
        </w:rPr>
      </w:r>
    </w:p>
    <w:p>
      <w:pPr>
        <w:pStyle w:val="899"/>
        <w:pBdr/>
        <w:tabs>
          <w:tab w:val="left" w:leader="none" w:pos="270"/>
        </w:tabs>
        <w:spacing/>
        <w:ind w:right="0" w:firstLine="0" w:left="270"/>
        <w:rPr>
          <w:sz w:val="24"/>
          <w:szCs w:val="24"/>
        </w:rPr>
      </w:pPr>
      <w:r>
        <w:rPr>
          <w:rStyle w:val="900"/>
          <w:sz w:val="24"/>
          <w:szCs w:val="24"/>
        </w:rPr>
        <w:t xml:space="preserve">Minimax and gradient-based methods are both used for optimization problems, but their approaches to stability estimation differ fundamentally in philosophy and application.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3"/>
        <w:pBdr/>
        <w:spacing/>
        <w:ind w:right="0" w:firstLine="0" w:left="180"/>
        <w:rPr/>
      </w:pPr>
      <w:r>
        <w:rPr>
          <w:rStyle w:val="906"/>
        </w:rPr>
        <w:t xml:space="preserve">Comparison Table</w:t>
      </w:r>
      <w:r/>
    </w:p>
    <w:tbl>
      <w:tblPr>
        <w:tblInd w:w="221" w:type="dxa"/>
        <w:tblW w:w="5397" w:type="pct"/>
        <w:tblCellMar>
          <w:left w:w="300" w:type="dxa"/>
          <w:top w:w="300" w:type="dxa"/>
          <w:right w:w="300" w:type="dxa"/>
          <w:bottom w:w="30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881"/>
        <w:gridCol w:w="4520"/>
        <w:gridCol w:w="4771"/>
      </w:tblGrid>
      <w:tr>
        <w:trPr/>
        <w:tc>
          <w:tcPr>
            <w:shd w:val="clear" w:color="auto" w:fill="3498db"/>
            <w:tcBorders/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7"/>
              <w:pBdr/>
              <w:spacing/>
              <w:ind/>
              <w:rPr/>
            </w:pPr>
            <w:r>
              <w:rPr>
                <w:rStyle w:val="908"/>
                <w:b/>
                <w:bCs/>
              </w:rPr>
              <w:t xml:space="preserve">Feature</w:t>
            </w:r>
            <w:r/>
          </w:p>
        </w:tc>
        <w:tc>
          <w:tcPr>
            <w:shd w:val="clear" w:color="auto" w:fill="3498db"/>
            <w:tcBorders/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7"/>
              <w:pBdr/>
              <w:spacing/>
              <w:ind/>
              <w:rPr/>
            </w:pPr>
            <w:r>
              <w:rPr>
                <w:rStyle w:val="908"/>
                <w:b/>
                <w:bCs/>
              </w:rPr>
              <w:t xml:space="preserve">Minimax Stability Estimation</w:t>
            </w:r>
            <w:r/>
          </w:p>
        </w:tc>
        <w:tc>
          <w:tcPr>
            <w:shd w:val="clear" w:color="auto" w:fill="3498db"/>
            <w:tcBorders/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7"/>
              <w:pBdr/>
              <w:spacing/>
              <w:ind/>
              <w:rPr/>
            </w:pPr>
            <w:r>
              <w:rPr>
                <w:rStyle w:val="908"/>
                <w:b/>
                <w:bCs/>
              </w:rPr>
              <w:t xml:space="preserve">Gradient Stability Estimation</w:t>
            </w:r>
            <w:r/>
          </w:p>
        </w:tc>
      </w:tr>
      <w:tr>
        <w:trPr/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  <w:b/>
                <w:bCs/>
              </w:rPr>
              <w:t xml:space="preserve">Objective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Optimizes for the worst-case scenario to ensure reliable performance under uncertainty or distribution shift.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Seeks to minimize average error or risk under standard assumptions (e.g., specific data distribution, smoothness).</w:t>
            </w:r>
            <w:r/>
          </w:p>
        </w:tc>
      </w:tr>
      <w:tr>
        <w:trPr>
          <w:trHeight w:val="1423"/>
        </w:trPr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  <w:b/>
                <w:bCs/>
              </w:rPr>
              <w:t xml:space="preserve">Approach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Defines stability in terms of acceptable performance degradation, then finds an optimal estimator based on the dual formulation to meet that worst-case bound.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Uses the local gradient information to iteratively find a minimum (or maximum), with stability often analyzed via algorithmic properties like uniform stability or argument stability.</w:t>
            </w:r>
            <w:r/>
          </w:p>
        </w:tc>
      </w:tr>
      <w:tr>
        <w:trPr/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  <w:b/>
                <w:bCs/>
              </w:rPr>
              <w:t xml:space="preserve">Guarantees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Provides strong robustness guarantees against adversarial perturbations or unexpected environmental changes.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Guarantees depend heavily on the problem setting (e.g., convex-concave, non-convex) and can suffer from issues like cycling or divergence in certain complex scenarios (e.g., general minimax problems).</w:t>
            </w:r>
            <w:r/>
          </w:p>
        </w:tc>
      </w:tr>
      <w:tr>
        <w:trPr/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  <w:b/>
                <w:bCs/>
              </w:rPr>
              <w:t xml:space="preserve">Use Cases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Robust system design, adversarial machine learning (GANs), scenarios where performance deterioration must be strictly controlled.</w:t>
            </w:r>
            <w:r/>
          </w:p>
        </w:tc>
        <w:tc>
          <w:tcPr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tcMar>
              <w:left w:w="300" w:type="dxa"/>
              <w:top w:w="300" w:type="dxa"/>
              <w:right w:w="300" w:type="dxa"/>
              <w:bottom w:w="300" w:type="dxa"/>
            </w:tcMar>
            <w:tcW w:w="0" w:type="auto"/>
            <w:vAlign w:val="center"/>
            <w:textDirection w:val="lrTb"/>
            <w:noWrap w:val="false"/>
          </w:tcPr>
          <w:p>
            <w:pPr>
              <w:pStyle w:val="909"/>
              <w:pBdr/>
              <w:spacing/>
              <w:ind/>
              <w:rPr/>
            </w:pPr>
            <w:r>
              <w:rPr>
                <w:rStyle w:val="910"/>
              </w:rPr>
              <w:t xml:space="preserve">General machine learning training (e.g., logistic regression, deep learning), where average performance and computational efficiency are primary concerns.</w:t>
            </w:r>
            <w:r/>
          </w:p>
        </w:tc>
      </w:tr>
    </w:tbl>
    <w:p>
      <w:pPr>
        <w:pBdr/>
        <w:spacing/>
        <w:ind/>
        <w:rPr/>
      </w:pPr>
      <w:r/>
      <w:r/>
    </w:p>
    <w:p>
      <w:pPr>
        <w:pStyle w:val="903"/>
        <w:pBdr/>
        <w:spacing/>
        <w:ind w:right="0" w:firstLine="90" w:left="180"/>
        <w:rPr/>
      </w:pPr>
      <w:r>
        <w:rPr>
          <w:rStyle w:val="906"/>
        </w:rPr>
        <w:t xml:space="preserve">Summary</w:t>
      </w:r>
      <w:r/>
    </w:p>
    <w:p>
      <w:pPr>
        <w:pStyle w:val="911"/>
        <w:pBdr/>
        <w:spacing/>
        <w:ind w:right="0" w:firstLine="0" w:left="270"/>
        <w:rPr>
          <w:sz w:val="24"/>
          <w:szCs w:val="24"/>
        </w:rPr>
      </w:pPr>
      <w:r>
        <w:rPr>
          <w:rStyle w:val="912"/>
          <w:b/>
          <w:bCs/>
          <w:sz w:val="24"/>
          <w:szCs w:val="24"/>
        </w:rPr>
        <w:t xml:space="preserve">Minimax methods</w:t>
      </w:r>
      <w:r>
        <w:rPr>
          <w:rStyle w:val="912"/>
          <w:sz w:val="24"/>
          <w:szCs w:val="24"/>
        </w:rPr>
        <w:t xml:space="preserve"> are designed for robustness, focusing on a predefined worst-case performance threshold. The estimator aims to perform optimally in this challenging scenario.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1"/>
        <w:pBdr/>
        <w:spacing/>
        <w:ind w:right="0" w:firstLine="0" w:left="270"/>
        <w:rPr>
          <w:sz w:val="24"/>
          <w:szCs w:val="24"/>
        </w:rPr>
      </w:pPr>
      <w:r>
        <w:rPr>
          <w:rStyle w:val="912"/>
          <w:b/>
          <w:bCs/>
          <w:sz w:val="24"/>
          <w:szCs w:val="24"/>
        </w:rPr>
        <w:t xml:space="preserve">Gradient methods</w:t>
      </w:r>
      <w:r>
        <w:rPr>
          <w:rStyle w:val="912"/>
          <w:sz w:val="24"/>
          <w:szCs w:val="24"/>
        </w:rPr>
        <w:t xml:space="preserve">, such as Gradient Descent Ascent (GDA) or its va</w:t>
      </w:r>
      <w:r>
        <w:rPr>
          <w:rStyle w:val="912"/>
          <w:sz w:val="24"/>
          <w:szCs w:val="24"/>
        </w:rPr>
        <w:t xml:space="preserve">riants, are designed for efficiency and speed in finding a local optimum, minimizing typical estimation errors. Their stability is a property of the algorithm's convergence behavior under specific mathematical conditions (e.g., learning rates, smoothness).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5840" w:orient="portrait" w:w="12240"/>
      <w:pgMar w:top="900" w:right="1440" w:bottom="1440" w:left="45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3"/>
    <w:basedOn w:val="886"/>
    <w:next w:val="886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6"/>
    <w:next w:val="886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6"/>
    <w:next w:val="886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6"/>
    <w:next w:val="886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6"/>
    <w:next w:val="886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6"/>
    <w:next w:val="886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6"/>
    <w:next w:val="886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6"/>
    <w:next w:val="886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6"/>
    <w:next w:val="886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6"/>
    <w:next w:val="886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6"/>
    <w:next w:val="886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37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1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2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3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4">
    <w:name w:val="Header"/>
    <w:basedOn w:val="886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Header Char"/>
    <w:basedOn w:val="837"/>
    <w:link w:val="864"/>
    <w:uiPriority w:val="99"/>
    <w:pPr>
      <w:pBdr/>
      <w:spacing/>
      <w:ind/>
    </w:pPr>
  </w:style>
  <w:style w:type="paragraph" w:styleId="866">
    <w:name w:val="Footer"/>
    <w:basedOn w:val="886"/>
    <w:link w:val="86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7">
    <w:name w:val="Footer Char"/>
    <w:basedOn w:val="837"/>
    <w:link w:val="866"/>
    <w:uiPriority w:val="99"/>
    <w:pPr>
      <w:pBdr/>
      <w:spacing/>
      <w:ind/>
    </w:pPr>
  </w:style>
  <w:style w:type="paragraph" w:styleId="868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9">
    <w:name w:val="Footnote Text Char"/>
    <w:basedOn w:val="837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870">
    <w:name w:val="endnote text"/>
    <w:basedOn w:val="886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  <w:rPr>
      <w:rFonts w:eastAsiaTheme="minorEastAsia"/>
      <w:sz w:val="24"/>
      <w:szCs w:val="24"/>
    </w:rPr>
  </w:style>
  <w:style w:type="paragraph" w:styleId="887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8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8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0">
    <w:name w:val="footnote text"/>
    <w:basedOn w:val="886"/>
    <w:link w:val="89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1" w:customStyle="1">
    <w:name w:val="footnote text character"/>
    <w:link w:val="890"/>
    <w:uiPriority w:val="99"/>
    <w:pPr>
      <w:pBdr/>
      <w:spacing/>
      <w:ind/>
    </w:pPr>
    <w:rPr>
      <w:sz w:val="18"/>
    </w:rPr>
  </w:style>
  <w:style w:type="paragraph" w:styleId="892">
    <w:name w:val="Normal (Web)"/>
    <w:basedOn w:val="886"/>
    <w:uiPriority w:val="99"/>
    <w:semiHidden/>
    <w:unhideWhenUsed/>
    <w:pPr>
      <w:pBdr/>
      <w:spacing w:after="100" w:afterAutospacing="1" w:before="100" w:beforeAutospacing="1"/>
      <w:ind/>
    </w:pPr>
  </w:style>
  <w:style w:type="paragraph" w:styleId="893">
    <w:name w:val="Heading 1"/>
    <w:basedOn w:val="886"/>
    <w:link w:val="896"/>
    <w:pPr>
      <w:pBdr/>
      <w:spacing/>
      <w:ind/>
      <w:outlineLvl w:val="0"/>
    </w:pPr>
  </w:style>
  <w:style w:type="paragraph" w:styleId="894">
    <w:name w:val="h1"/>
    <w:basedOn w:val="886"/>
    <w:link w:val="896"/>
    <w:qFormat/>
    <w:pPr>
      <w:pBdr/>
      <w:spacing/>
      <w:ind/>
      <w:outlineLvl w:val="0"/>
    </w:pPr>
  </w:style>
  <w:style w:type="paragraph" w:styleId="895" w:customStyle="1">
    <w:name w:val="+h1-2"/>
    <w:basedOn w:val="894"/>
    <w:qFormat/>
    <w:pPr>
      <w:pBdr>
        <w:bottom w:val="single" w:color="3498db" w:sz="18" w:space="0"/>
      </w:pBdr>
      <w:spacing w:after="0" w:afterAutospacing="1" w:before="0" w:beforeAutospacing="1" w:line="2" w:lineRule="atLeast"/>
      <w:ind/>
    </w:pPr>
  </w:style>
  <w:style w:type="character" w:styleId="896" w:customStyle="1">
    <w:name w:val="Title 1 Sign"/>
    <w:link w:val="893"/>
    <w:uiPriority w:val="9"/>
    <w:pPr>
      <w:pBdr/>
      <w:spacing/>
      <w:ind/>
    </w:pPr>
    <w:rPr>
      <w:b/>
      <w:bCs/>
      <w:sz w:val="48"/>
      <w:szCs w:val="48"/>
    </w:rPr>
  </w:style>
  <w:style w:type="character" w:styleId="897" w:customStyle="1">
    <w:name w:val="h1-c"/>
    <w:basedOn w:val="886"/>
    <w:link w:val="893"/>
    <w:uiPriority w:val="9"/>
    <w:pPr>
      <w:pBdr/>
      <w:spacing/>
      <w:ind/>
    </w:pPr>
    <w:rPr>
      <w:b/>
      <w:bCs/>
      <w:sz w:val="48"/>
      <w:szCs w:val="48"/>
    </w:rPr>
  </w:style>
  <w:style w:type="character" w:styleId="898" w:customStyle="1">
    <w:name w:val="+h1-2-c"/>
    <w:basedOn w:val="897"/>
    <w:pPr>
      <w:pBdr/>
      <w:spacing/>
      <w:ind/>
    </w:pPr>
    <w:rPr>
      <w:rFonts w:ascii="Arial" w:hAnsi="Arial" w:eastAsia="Arial" w:cs="Arial"/>
      <w:color w:val="2c3e50"/>
    </w:rPr>
  </w:style>
  <w:style w:type="paragraph" w:styleId="899" w:customStyle="1">
    <w:name w:val="+p-3"/>
    <w:qFormat/>
    <w:pPr>
      <w:pBdr/>
      <w:spacing w:after="0" w:afterAutospacing="1" w:before="0" w:beforeAutospacing="1" w:line="2" w:lineRule="atLeast"/>
      <w:ind/>
    </w:pPr>
  </w:style>
  <w:style w:type="character" w:styleId="900" w:customStyle="1">
    <w:name w:val="+p-3-c"/>
    <w:pPr>
      <w:pBdr/>
      <w:spacing/>
      <w:ind/>
    </w:pPr>
    <w:rPr>
      <w:rFonts w:ascii="Arial" w:hAnsi="Arial" w:eastAsia="Arial" w:cs="Arial"/>
      <w:color w:val="333333"/>
    </w:rPr>
  </w:style>
  <w:style w:type="paragraph" w:styleId="901">
    <w:name w:val="Heading 2"/>
    <w:basedOn w:val="886"/>
    <w:link w:val="904"/>
    <w:pPr>
      <w:pBdr/>
      <w:spacing/>
      <w:ind/>
      <w:outlineLvl w:val="1"/>
    </w:pPr>
  </w:style>
  <w:style w:type="paragraph" w:styleId="902">
    <w:name w:val="h2"/>
    <w:basedOn w:val="886"/>
    <w:link w:val="904"/>
    <w:qFormat/>
    <w:pPr>
      <w:pBdr/>
      <w:spacing/>
      <w:ind/>
      <w:outlineLvl w:val="1"/>
    </w:pPr>
  </w:style>
  <w:style w:type="paragraph" w:styleId="903" w:customStyle="1">
    <w:name w:val="+h2-4"/>
    <w:basedOn w:val="902"/>
    <w:qFormat/>
    <w:pPr>
      <w:pBdr/>
      <w:spacing w:after="0" w:afterAutospacing="1" w:before="450" w:beforeAutospacing="1" w:line="2" w:lineRule="atLeast"/>
      <w:ind/>
    </w:pPr>
  </w:style>
  <w:style w:type="character" w:styleId="904" w:customStyle="1">
    <w:name w:val="Title 2 Sign"/>
    <w:link w:val="901"/>
    <w:uiPriority w:val="9"/>
    <w:unhideWhenUsed/>
    <w:pPr>
      <w:pBdr/>
      <w:spacing/>
      <w:ind/>
    </w:pPr>
    <w:rPr>
      <w:b/>
      <w:bCs/>
      <w:sz w:val="36"/>
      <w:szCs w:val="36"/>
    </w:rPr>
  </w:style>
  <w:style w:type="character" w:styleId="905" w:customStyle="1">
    <w:name w:val="h2-c"/>
    <w:basedOn w:val="886"/>
    <w:link w:val="901"/>
    <w:uiPriority w:val="9"/>
    <w:unhideWhenUsed/>
    <w:pPr>
      <w:pBdr/>
      <w:spacing/>
      <w:ind/>
    </w:pPr>
    <w:rPr>
      <w:b/>
      <w:bCs/>
      <w:sz w:val="36"/>
      <w:szCs w:val="36"/>
    </w:rPr>
  </w:style>
  <w:style w:type="character" w:styleId="906" w:customStyle="1">
    <w:name w:val="+h2-4-c"/>
    <w:basedOn w:val="905"/>
    <w:pPr>
      <w:pBdr/>
      <w:spacing/>
      <w:ind/>
    </w:pPr>
    <w:rPr>
      <w:rFonts w:ascii="Arial" w:hAnsi="Arial" w:eastAsia="Arial" w:cs="Arial"/>
      <w:color w:val="34495e"/>
    </w:rPr>
  </w:style>
  <w:style w:type="paragraph" w:styleId="907" w:customStyle="1">
    <w:name w:val="+th-8"/>
    <w:qFormat/>
    <w:pPr>
      <w:pBdr/>
      <w:spacing w:after="300" w:afterAutospacing="1" w:before="300" w:beforeAutospacing="1" w:line="2" w:lineRule="atLeast"/>
      <w:ind/>
      <w:jc w:val="left"/>
    </w:pPr>
  </w:style>
  <w:style w:type="character" w:styleId="908" w:customStyle="1">
    <w:name w:val="+th-8-c"/>
    <w:pPr>
      <w:pBdr/>
      <w:spacing/>
      <w:ind/>
    </w:pPr>
    <w:rPr>
      <w:rFonts w:ascii="Arial" w:hAnsi="Arial" w:eastAsia="Arial" w:cs="Arial"/>
      <w:b/>
      <w:bCs/>
      <w:color w:val="ffffff"/>
    </w:rPr>
  </w:style>
  <w:style w:type="paragraph" w:styleId="909" w:customStyle="1">
    <w:name w:val="+strong-12"/>
    <w:qFormat/>
    <w:pPr>
      <w:pBdr/>
      <w:spacing w:after="300" w:afterAutospacing="1" w:before="300" w:beforeAutospacing="1" w:line="2" w:lineRule="atLeast"/>
      <w:ind/>
    </w:pPr>
  </w:style>
  <w:style w:type="character" w:styleId="910" w:customStyle="1">
    <w:name w:val="+strong-12-c"/>
    <w:pPr>
      <w:pBdr/>
      <w:spacing/>
      <w:ind/>
    </w:pPr>
    <w:rPr>
      <w:rFonts w:ascii="Arial" w:hAnsi="Arial" w:eastAsia="Arial" w:cs="Arial"/>
      <w:color w:val="333333"/>
    </w:rPr>
  </w:style>
  <w:style w:type="paragraph" w:styleId="911" w:customStyle="1">
    <w:name w:val="+strong-15"/>
    <w:qFormat/>
    <w:pPr>
      <w:pBdr>
        <w:left w:val="single" w:color="3498db" w:sz="24" w:space="0"/>
      </w:pBdr>
      <w:shd w:val="clear" w:color="auto" w:fill="ecf0f1"/>
      <w:spacing w:after="300" w:afterAutospacing="1" w:before="300" w:beforeAutospacing="1" w:line="2" w:lineRule="atLeast"/>
      <w:ind/>
    </w:pPr>
  </w:style>
  <w:style w:type="character" w:styleId="912" w:customStyle="1">
    <w:name w:val="+strong-15-c"/>
    <w:pPr>
      <w:pBdr/>
      <w:spacing/>
      <w:ind/>
    </w:pPr>
    <w:rPr>
      <w:rFonts w:ascii="Arial" w:hAnsi="Arial" w:eastAsia="Arial" w:cs="Arial"/>
      <w:color w:val="333333"/>
      <w:shd w:val="clear" w:color="auto" w:fill="ecf0f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modified xsi:type="dcterms:W3CDTF">2025-12-30T19:44:59Z</dcterms:modified>
</cp:coreProperties>
</file>