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Aurora Consulting Group — Global HR and IT Policy Manual</w:t>
      </w:r>
    </w:p>
    <w:p>
      <w:r>
        <w:t>This manual consolidates the human resources and information technology policies of Aurora Consulting Group. It applies to all employees, contractors with badge access, and interns in every country of operation. Where a local law is more favorable to the employee than a table in this manual, the local law prevails and the difference is recorded by People Operations in the country annex. The manual is reviewed every January, and the tables below carry the figures approved for the current fiscal year.</w:t>
      </w:r>
    </w:p>
    <w:p>
      <w:pPr>
        <w:pStyle w:val="Heading2"/>
      </w:pPr>
      <w:r>
        <w:t>Travel and Expenses</w:t>
      </w:r>
    </w:p>
    <w:p>
      <w:r>
        <w:t>Business travel is booked through the corporate portal, and the reimbursement caps depend on the employee's grade and the trip type. Meals outside the caps require a receipt and a written justification approved by the cost-center owner. The daily allowance covers meals and incidentals; lodging is booked at cost within the nightly cap of the destination band. Cities are assigned to bands A, B, or C in the portal, reviewed twice a year.</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t>Grade</w:t>
            </w:r>
          </w:p>
        </w:tc>
        <w:tc>
          <w:tcPr>
            <w:tcW w:type="dxa" w:w="1440"/>
          </w:tcPr>
          <w:p>
            <w:r>
              <w:t>Daily allowance (EUR)</w:t>
            </w:r>
          </w:p>
        </w:tc>
        <w:tc>
          <w:tcPr>
            <w:tcW w:type="dxa" w:w="1440"/>
          </w:tcPr>
          <w:p>
            <w:r>
              <w:t>Lodging cap band A (EUR)</w:t>
            </w:r>
          </w:p>
        </w:tc>
        <w:tc>
          <w:tcPr>
            <w:tcW w:type="dxa" w:w="1440"/>
          </w:tcPr>
          <w:p>
            <w:r>
              <w:t>Lodging cap band B (EUR)</w:t>
            </w:r>
          </w:p>
        </w:tc>
        <w:tc>
          <w:tcPr>
            <w:tcW w:type="dxa" w:w="1440"/>
          </w:tcPr>
          <w:p>
            <w:r>
              <w:t>Flight class short-haul</w:t>
            </w:r>
          </w:p>
        </w:tc>
        <w:tc>
          <w:tcPr>
            <w:tcW w:type="dxa" w:w="1440"/>
          </w:tcPr>
          <w:p>
            <w:r>
              <w:t>Flight class long-haul</w:t>
            </w:r>
          </w:p>
        </w:tc>
      </w:tr>
      <w:tr>
        <w:tc>
          <w:tcPr>
            <w:tcW w:type="dxa" w:w="1440"/>
          </w:tcPr>
          <w:p>
            <w:r>
              <w:t>Intern</w:t>
            </w:r>
          </w:p>
        </w:tc>
        <w:tc>
          <w:tcPr>
            <w:tcW w:type="dxa" w:w="1440"/>
          </w:tcPr>
          <w:p>
            <w:r>
              <w:t>45</w:t>
            </w:r>
          </w:p>
        </w:tc>
        <w:tc>
          <w:tcPr>
            <w:tcW w:type="dxa" w:w="1440"/>
          </w:tcPr>
          <w:p>
            <w:r>
              <w:t>140</w:t>
            </w:r>
          </w:p>
        </w:tc>
        <w:tc>
          <w:tcPr>
            <w:tcW w:type="dxa" w:w="1440"/>
          </w:tcPr>
          <w:p>
            <w:r>
              <w:t>105</w:t>
            </w:r>
          </w:p>
        </w:tc>
        <w:tc>
          <w:tcPr>
            <w:tcW w:type="dxa" w:w="1440"/>
          </w:tcPr>
          <w:p>
            <w:r>
              <w:t>Economy</w:t>
            </w:r>
          </w:p>
        </w:tc>
        <w:tc>
          <w:tcPr>
            <w:tcW w:type="dxa" w:w="1440"/>
          </w:tcPr>
          <w:p>
            <w:r>
              <w:t>Economy</w:t>
            </w:r>
          </w:p>
        </w:tc>
      </w:tr>
      <w:tr>
        <w:tc>
          <w:tcPr>
            <w:tcW w:type="dxa" w:w="1440"/>
          </w:tcPr>
          <w:p>
            <w:r>
              <w:t>Analyst</w:t>
            </w:r>
          </w:p>
        </w:tc>
        <w:tc>
          <w:tcPr>
            <w:tcW w:type="dxa" w:w="1440"/>
          </w:tcPr>
          <w:p>
            <w:r>
              <w:t>55</w:t>
            </w:r>
          </w:p>
        </w:tc>
        <w:tc>
          <w:tcPr>
            <w:tcW w:type="dxa" w:w="1440"/>
          </w:tcPr>
          <w:p>
            <w:r>
              <w:t>160</w:t>
            </w:r>
          </w:p>
        </w:tc>
        <w:tc>
          <w:tcPr>
            <w:tcW w:type="dxa" w:w="1440"/>
          </w:tcPr>
          <w:p>
            <w:r>
              <w:t>120</w:t>
            </w:r>
          </w:p>
        </w:tc>
        <w:tc>
          <w:tcPr>
            <w:tcW w:type="dxa" w:w="1440"/>
          </w:tcPr>
          <w:p>
            <w:r>
              <w:t>Economy</w:t>
            </w:r>
          </w:p>
        </w:tc>
        <w:tc>
          <w:tcPr>
            <w:tcW w:type="dxa" w:w="1440"/>
          </w:tcPr>
          <w:p>
            <w:r>
              <w:t>Economy</w:t>
            </w:r>
          </w:p>
        </w:tc>
      </w:tr>
      <w:tr>
        <w:tc>
          <w:tcPr>
            <w:tcW w:type="dxa" w:w="1440"/>
          </w:tcPr>
          <w:p>
            <w:r>
              <w:t>Consultant</w:t>
            </w:r>
          </w:p>
        </w:tc>
        <w:tc>
          <w:tcPr>
            <w:tcW w:type="dxa" w:w="1440"/>
          </w:tcPr>
          <w:p>
            <w:r>
              <w:t>65</w:t>
            </w:r>
          </w:p>
        </w:tc>
        <w:tc>
          <w:tcPr>
            <w:tcW w:type="dxa" w:w="1440"/>
          </w:tcPr>
          <w:p>
            <w:r>
              <w:t>175</w:t>
            </w:r>
          </w:p>
        </w:tc>
        <w:tc>
          <w:tcPr>
            <w:tcW w:type="dxa" w:w="1440"/>
          </w:tcPr>
          <w:p>
            <w:r>
              <w:t>135</w:t>
            </w:r>
          </w:p>
        </w:tc>
        <w:tc>
          <w:tcPr>
            <w:tcW w:type="dxa" w:w="1440"/>
          </w:tcPr>
          <w:p>
            <w:r>
              <w:t>Economy</w:t>
            </w:r>
          </w:p>
        </w:tc>
        <w:tc>
          <w:tcPr>
            <w:tcW w:type="dxa" w:w="1440"/>
          </w:tcPr>
          <w:p>
            <w:r>
              <w:t>Economy</w:t>
            </w:r>
          </w:p>
        </w:tc>
      </w:tr>
      <w:tr>
        <w:tc>
          <w:tcPr>
            <w:tcW w:type="dxa" w:w="1440"/>
          </w:tcPr>
          <w:p>
            <w:r>
              <w:t>Senior Consultant</w:t>
            </w:r>
          </w:p>
        </w:tc>
        <w:tc>
          <w:tcPr>
            <w:tcW w:type="dxa" w:w="1440"/>
          </w:tcPr>
          <w:p>
            <w:r>
              <w:t>75</w:t>
            </w:r>
          </w:p>
        </w:tc>
        <w:tc>
          <w:tcPr>
            <w:tcW w:type="dxa" w:w="1440"/>
          </w:tcPr>
          <w:p>
            <w:r>
              <w:t>190</w:t>
            </w:r>
          </w:p>
        </w:tc>
        <w:tc>
          <w:tcPr>
            <w:tcW w:type="dxa" w:w="1440"/>
          </w:tcPr>
          <w:p>
            <w:r>
              <w:t>150</w:t>
            </w:r>
          </w:p>
        </w:tc>
        <w:tc>
          <w:tcPr>
            <w:tcW w:type="dxa" w:w="1440"/>
          </w:tcPr>
          <w:p>
            <w:r>
              <w:t>Economy</w:t>
            </w:r>
          </w:p>
        </w:tc>
        <w:tc>
          <w:tcPr>
            <w:tcW w:type="dxa" w:w="1440"/>
          </w:tcPr>
          <w:p>
            <w:r>
              <w:t>Premium Economy</w:t>
            </w:r>
          </w:p>
        </w:tc>
      </w:tr>
      <w:tr>
        <w:tc>
          <w:tcPr>
            <w:tcW w:type="dxa" w:w="1440"/>
          </w:tcPr>
          <w:p>
            <w:r>
              <w:t>Manager</w:t>
            </w:r>
          </w:p>
        </w:tc>
        <w:tc>
          <w:tcPr>
            <w:tcW w:type="dxa" w:w="1440"/>
          </w:tcPr>
          <w:p>
            <w:r>
              <w:t>85</w:t>
            </w:r>
          </w:p>
        </w:tc>
        <w:tc>
          <w:tcPr>
            <w:tcW w:type="dxa" w:w="1440"/>
          </w:tcPr>
          <w:p>
            <w:r>
              <w:t>210</w:t>
            </w:r>
          </w:p>
        </w:tc>
        <w:tc>
          <w:tcPr>
            <w:tcW w:type="dxa" w:w="1440"/>
          </w:tcPr>
          <w:p>
            <w:r>
              <w:t>165</w:t>
            </w:r>
          </w:p>
        </w:tc>
        <w:tc>
          <w:tcPr>
            <w:tcW w:type="dxa" w:w="1440"/>
          </w:tcPr>
          <w:p>
            <w:r>
              <w:t>Economy</w:t>
            </w:r>
          </w:p>
        </w:tc>
        <w:tc>
          <w:tcPr>
            <w:tcW w:type="dxa" w:w="1440"/>
          </w:tcPr>
          <w:p>
            <w:r>
              <w:t>Premium Economy</w:t>
            </w:r>
          </w:p>
        </w:tc>
      </w:tr>
      <w:tr>
        <w:tc>
          <w:tcPr>
            <w:tcW w:type="dxa" w:w="1440"/>
          </w:tcPr>
          <w:p>
            <w:r>
              <w:t>Senior Manager</w:t>
            </w:r>
          </w:p>
        </w:tc>
        <w:tc>
          <w:tcPr>
            <w:tcW w:type="dxa" w:w="1440"/>
          </w:tcPr>
          <w:p>
            <w:r>
              <w:t>90</w:t>
            </w:r>
          </w:p>
        </w:tc>
        <w:tc>
          <w:tcPr>
            <w:tcW w:type="dxa" w:w="1440"/>
          </w:tcPr>
          <w:p>
            <w:r>
              <w:t>225</w:t>
            </w:r>
          </w:p>
        </w:tc>
        <w:tc>
          <w:tcPr>
            <w:tcW w:type="dxa" w:w="1440"/>
          </w:tcPr>
          <w:p>
            <w:r>
              <w:t>175</w:t>
            </w:r>
          </w:p>
        </w:tc>
        <w:tc>
          <w:tcPr>
            <w:tcW w:type="dxa" w:w="1440"/>
          </w:tcPr>
          <w:p>
            <w:r>
              <w:t>Economy</w:t>
            </w:r>
          </w:p>
        </w:tc>
        <w:tc>
          <w:tcPr>
            <w:tcW w:type="dxa" w:w="1440"/>
          </w:tcPr>
          <w:p>
            <w:r>
              <w:t>Premium Economy</w:t>
            </w:r>
          </w:p>
        </w:tc>
      </w:tr>
      <w:tr>
        <w:tc>
          <w:tcPr>
            <w:tcW w:type="dxa" w:w="1440"/>
          </w:tcPr>
          <w:p>
            <w:r>
              <w:t>Principal</w:t>
            </w:r>
          </w:p>
        </w:tc>
        <w:tc>
          <w:tcPr>
            <w:tcW w:type="dxa" w:w="1440"/>
          </w:tcPr>
          <w:p>
            <w:r>
              <w:t>95</w:t>
            </w:r>
          </w:p>
        </w:tc>
        <w:tc>
          <w:tcPr>
            <w:tcW w:type="dxa" w:w="1440"/>
          </w:tcPr>
          <w:p>
            <w:r>
              <w:t>240</w:t>
            </w:r>
          </w:p>
        </w:tc>
        <w:tc>
          <w:tcPr>
            <w:tcW w:type="dxa" w:w="1440"/>
          </w:tcPr>
          <w:p>
            <w:r>
              <w:t>185</w:t>
            </w:r>
          </w:p>
        </w:tc>
        <w:tc>
          <w:tcPr>
            <w:tcW w:type="dxa" w:w="1440"/>
          </w:tcPr>
          <w:p>
            <w:r>
              <w:t>Economy</w:t>
            </w:r>
          </w:p>
        </w:tc>
        <w:tc>
          <w:tcPr>
            <w:tcW w:type="dxa" w:w="1440"/>
          </w:tcPr>
          <w:p>
            <w:r>
              <w:t>Business</w:t>
            </w:r>
          </w:p>
        </w:tc>
      </w:tr>
      <w:tr>
        <w:tc>
          <w:tcPr>
            <w:tcW w:type="dxa" w:w="1440"/>
          </w:tcPr>
          <w:p>
            <w:r>
              <w:t>Associate Partner</w:t>
            </w:r>
          </w:p>
        </w:tc>
        <w:tc>
          <w:tcPr>
            <w:tcW w:type="dxa" w:w="1440"/>
          </w:tcPr>
          <w:p>
            <w:r>
              <w:t>105</w:t>
            </w:r>
          </w:p>
        </w:tc>
        <w:tc>
          <w:tcPr>
            <w:tcW w:type="dxa" w:w="1440"/>
          </w:tcPr>
          <w:p>
            <w:r>
              <w:t>270</w:t>
            </w:r>
          </w:p>
        </w:tc>
        <w:tc>
          <w:tcPr>
            <w:tcW w:type="dxa" w:w="1440"/>
          </w:tcPr>
          <w:p>
            <w:r>
              <w:t>200</w:t>
            </w:r>
          </w:p>
        </w:tc>
        <w:tc>
          <w:tcPr>
            <w:tcW w:type="dxa" w:w="1440"/>
          </w:tcPr>
          <w:p>
            <w:r>
              <w:t>Economy</w:t>
            </w:r>
          </w:p>
        </w:tc>
        <w:tc>
          <w:tcPr>
            <w:tcW w:type="dxa" w:w="1440"/>
          </w:tcPr>
          <w:p>
            <w:r>
              <w:t>Business</w:t>
            </w:r>
          </w:p>
        </w:tc>
      </w:tr>
      <w:tr>
        <w:tc>
          <w:tcPr>
            <w:tcW w:type="dxa" w:w="1440"/>
          </w:tcPr>
          <w:p>
            <w:r>
              <w:t>Partner</w:t>
            </w:r>
          </w:p>
        </w:tc>
        <w:tc>
          <w:tcPr>
            <w:tcW w:type="dxa" w:w="1440"/>
          </w:tcPr>
          <w:p>
            <w:r>
              <w:t>120</w:t>
            </w:r>
          </w:p>
        </w:tc>
        <w:tc>
          <w:tcPr>
            <w:tcW w:type="dxa" w:w="1440"/>
          </w:tcPr>
          <w:p>
            <w:r>
              <w:t>300</w:t>
            </w:r>
          </w:p>
        </w:tc>
        <w:tc>
          <w:tcPr>
            <w:tcW w:type="dxa" w:w="1440"/>
          </w:tcPr>
          <w:p>
            <w:r>
              <w:t>220</w:t>
            </w:r>
          </w:p>
        </w:tc>
        <w:tc>
          <w:tcPr>
            <w:tcW w:type="dxa" w:w="1440"/>
          </w:tcPr>
          <w:p>
            <w:r>
              <w:t>Business</w:t>
            </w:r>
          </w:p>
        </w:tc>
        <w:tc>
          <w:tcPr>
            <w:tcW w:type="dxa" w:w="1440"/>
          </w:tcPr>
          <w:p>
            <w:r>
              <w:t>Business</w:t>
            </w:r>
          </w:p>
        </w:tc>
      </w:tr>
    </w:tbl>
    <w:p>
      <w:r>
        <w:t>Mileage for personal vehicles is reimbursed at 0.38 euros per kilometer, and rail is preferred over flights for journeys under four hours door to door. Expense reports are due within twenty days of trip end; reports filed later than sixty days are rejected automatically and require a partner exception to reopen.</w:t>
      </w:r>
    </w:p>
    <w:p>
      <w:pPr>
        <w:pStyle w:val="Heading2"/>
      </w:pPr>
      <w:r>
        <w:t>City Bands for Lodging</w:t>
      </w:r>
    </w:p>
    <w:p>
      <w:r>
        <w:t>The band of the destination city determines the nightly lodging cap of the travel table. Cities not listed default to band C, whose cap is eighty-five percent of band B. The banding follows average business-hotel rates surveyed each April and October.</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t>City</w:t>
            </w:r>
          </w:p>
        </w:tc>
        <w:tc>
          <w:tcPr>
            <w:tcW w:type="dxa" w:w="2160"/>
          </w:tcPr>
          <w:p>
            <w:r>
              <w:t>Band</w:t>
            </w:r>
          </w:p>
        </w:tc>
        <w:tc>
          <w:tcPr>
            <w:tcW w:type="dxa" w:w="2160"/>
          </w:tcPr>
          <w:p>
            <w:r>
              <w:t>City</w:t>
            </w:r>
          </w:p>
        </w:tc>
        <w:tc>
          <w:tcPr>
            <w:tcW w:type="dxa" w:w="2160"/>
          </w:tcPr>
          <w:p>
            <w:r>
              <w:t>Band</w:t>
            </w:r>
          </w:p>
        </w:tc>
      </w:tr>
      <w:tr>
        <w:tc>
          <w:tcPr>
            <w:tcW w:type="dxa" w:w="2160"/>
          </w:tcPr>
          <w:p>
            <w:r>
              <w:t>Zurich</w:t>
            </w:r>
          </w:p>
        </w:tc>
        <w:tc>
          <w:tcPr>
            <w:tcW w:type="dxa" w:w="2160"/>
          </w:tcPr>
          <w:p>
            <w:r>
              <w:t>A</w:t>
            </w:r>
          </w:p>
        </w:tc>
        <w:tc>
          <w:tcPr>
            <w:tcW w:type="dxa" w:w="2160"/>
          </w:tcPr>
          <w:p>
            <w:r>
              <w:t>Warsaw</w:t>
            </w:r>
          </w:p>
        </w:tc>
        <w:tc>
          <w:tcPr>
            <w:tcW w:type="dxa" w:w="2160"/>
          </w:tcPr>
          <w:p>
            <w:r>
              <w:t>B</w:t>
            </w:r>
          </w:p>
        </w:tc>
      </w:tr>
      <w:tr>
        <w:tc>
          <w:tcPr>
            <w:tcW w:type="dxa" w:w="2160"/>
          </w:tcPr>
          <w:p>
            <w:r>
              <w:t>London</w:t>
            </w:r>
          </w:p>
        </w:tc>
        <w:tc>
          <w:tcPr>
            <w:tcW w:type="dxa" w:w="2160"/>
          </w:tcPr>
          <w:p>
            <w:r>
              <w:t>A</w:t>
            </w:r>
          </w:p>
        </w:tc>
        <w:tc>
          <w:tcPr>
            <w:tcW w:type="dxa" w:w="2160"/>
          </w:tcPr>
          <w:p>
            <w:r>
              <w:t>Prague</w:t>
            </w:r>
          </w:p>
        </w:tc>
        <w:tc>
          <w:tcPr>
            <w:tcW w:type="dxa" w:w="2160"/>
          </w:tcPr>
          <w:p>
            <w:r>
              <w:t>B</w:t>
            </w:r>
          </w:p>
        </w:tc>
      </w:tr>
      <w:tr>
        <w:tc>
          <w:tcPr>
            <w:tcW w:type="dxa" w:w="2160"/>
          </w:tcPr>
          <w:p>
            <w:r>
              <w:t>Paris</w:t>
            </w:r>
          </w:p>
        </w:tc>
        <w:tc>
          <w:tcPr>
            <w:tcW w:type="dxa" w:w="2160"/>
          </w:tcPr>
          <w:p>
            <w:r>
              <w:t>A</w:t>
            </w:r>
          </w:p>
        </w:tc>
        <w:tc>
          <w:tcPr>
            <w:tcW w:type="dxa" w:w="2160"/>
          </w:tcPr>
          <w:p>
            <w:r>
              <w:t>Lisbon</w:t>
            </w:r>
          </w:p>
        </w:tc>
        <w:tc>
          <w:tcPr>
            <w:tcW w:type="dxa" w:w="2160"/>
          </w:tcPr>
          <w:p>
            <w:r>
              <w:t>B</w:t>
            </w:r>
          </w:p>
        </w:tc>
      </w:tr>
      <w:tr>
        <w:tc>
          <w:tcPr>
            <w:tcW w:type="dxa" w:w="2160"/>
          </w:tcPr>
          <w:p>
            <w:r>
              <w:t>New York</w:t>
            </w:r>
          </w:p>
        </w:tc>
        <w:tc>
          <w:tcPr>
            <w:tcW w:type="dxa" w:w="2160"/>
          </w:tcPr>
          <w:p>
            <w:r>
              <w:t>A</w:t>
            </w:r>
          </w:p>
        </w:tc>
        <w:tc>
          <w:tcPr>
            <w:tcW w:type="dxa" w:w="2160"/>
          </w:tcPr>
          <w:p>
            <w:r>
              <w:t>Madrid</w:t>
            </w:r>
          </w:p>
        </w:tc>
        <w:tc>
          <w:tcPr>
            <w:tcW w:type="dxa" w:w="2160"/>
          </w:tcPr>
          <w:p>
            <w:r>
              <w:t>B</w:t>
            </w:r>
          </w:p>
        </w:tc>
      </w:tr>
      <w:tr>
        <w:tc>
          <w:tcPr>
            <w:tcW w:type="dxa" w:w="2160"/>
          </w:tcPr>
          <w:p>
            <w:r>
              <w:t>Milan</w:t>
            </w:r>
          </w:p>
        </w:tc>
        <w:tc>
          <w:tcPr>
            <w:tcW w:type="dxa" w:w="2160"/>
          </w:tcPr>
          <w:p>
            <w:r>
              <w:t>A</w:t>
            </w:r>
          </w:p>
        </w:tc>
        <w:tc>
          <w:tcPr>
            <w:tcW w:type="dxa" w:w="2160"/>
          </w:tcPr>
          <w:p>
            <w:r>
              <w:t>Rome</w:t>
            </w:r>
          </w:p>
        </w:tc>
        <w:tc>
          <w:tcPr>
            <w:tcW w:type="dxa" w:w="2160"/>
          </w:tcPr>
          <w:p>
            <w:r>
              <w:t>B</w:t>
            </w:r>
          </w:p>
        </w:tc>
      </w:tr>
      <w:tr>
        <w:tc>
          <w:tcPr>
            <w:tcW w:type="dxa" w:w="2160"/>
          </w:tcPr>
          <w:p>
            <w:r>
              <w:t>Munich</w:t>
            </w:r>
          </w:p>
        </w:tc>
        <w:tc>
          <w:tcPr>
            <w:tcW w:type="dxa" w:w="2160"/>
          </w:tcPr>
          <w:p>
            <w:r>
              <w:t>A</w:t>
            </w:r>
          </w:p>
        </w:tc>
        <w:tc>
          <w:tcPr>
            <w:tcW w:type="dxa" w:w="2160"/>
          </w:tcPr>
          <w:p>
            <w:r>
              <w:t>Barcelona</w:t>
            </w:r>
          </w:p>
        </w:tc>
        <w:tc>
          <w:tcPr>
            <w:tcW w:type="dxa" w:w="2160"/>
          </w:tcPr>
          <w:p>
            <w:r>
              <w:t>B</w:t>
            </w:r>
          </w:p>
        </w:tc>
      </w:tr>
      <w:tr>
        <w:tc>
          <w:tcPr>
            <w:tcW w:type="dxa" w:w="2160"/>
          </w:tcPr>
          <w:p>
            <w:r>
              <w:t>Amsterdam</w:t>
            </w:r>
          </w:p>
        </w:tc>
        <w:tc>
          <w:tcPr>
            <w:tcW w:type="dxa" w:w="2160"/>
          </w:tcPr>
          <w:p>
            <w:r>
              <w:t>A</w:t>
            </w:r>
          </w:p>
        </w:tc>
        <w:tc>
          <w:tcPr>
            <w:tcW w:type="dxa" w:w="2160"/>
          </w:tcPr>
          <w:p>
            <w:r>
              <w:t>Berlin</w:t>
            </w:r>
          </w:p>
        </w:tc>
        <w:tc>
          <w:tcPr>
            <w:tcW w:type="dxa" w:w="2160"/>
          </w:tcPr>
          <w:p>
            <w:r>
              <w:t>B</w:t>
            </w:r>
          </w:p>
        </w:tc>
      </w:tr>
      <w:tr>
        <w:tc>
          <w:tcPr>
            <w:tcW w:type="dxa" w:w="2160"/>
          </w:tcPr>
          <w:p>
            <w:r>
              <w:t>Copenhagen</w:t>
            </w:r>
          </w:p>
        </w:tc>
        <w:tc>
          <w:tcPr>
            <w:tcW w:type="dxa" w:w="2160"/>
          </w:tcPr>
          <w:p>
            <w:r>
              <w:t>A</w:t>
            </w:r>
          </w:p>
        </w:tc>
        <w:tc>
          <w:tcPr>
            <w:tcW w:type="dxa" w:w="2160"/>
          </w:tcPr>
          <w:p>
            <w:r>
              <w:t>Vienna</w:t>
            </w:r>
          </w:p>
        </w:tc>
        <w:tc>
          <w:tcPr>
            <w:tcW w:type="dxa" w:w="2160"/>
          </w:tcPr>
          <w:p>
            <w:r>
              <w:t>B</w:t>
            </w:r>
          </w:p>
        </w:tc>
      </w:tr>
      <w:tr>
        <w:tc>
          <w:tcPr>
            <w:tcW w:type="dxa" w:w="2160"/>
          </w:tcPr>
          <w:p>
            <w:r>
              <w:t>Stockholm</w:t>
            </w:r>
          </w:p>
        </w:tc>
        <w:tc>
          <w:tcPr>
            <w:tcW w:type="dxa" w:w="2160"/>
          </w:tcPr>
          <w:p>
            <w:r>
              <w:t>A</w:t>
            </w:r>
          </w:p>
        </w:tc>
        <w:tc>
          <w:tcPr>
            <w:tcW w:type="dxa" w:w="2160"/>
          </w:tcPr>
          <w:p>
            <w:r>
              <w:t>Brussels</w:t>
            </w:r>
          </w:p>
        </w:tc>
        <w:tc>
          <w:tcPr>
            <w:tcW w:type="dxa" w:w="2160"/>
          </w:tcPr>
          <w:p>
            <w:r>
              <w:t>B</w:t>
            </w:r>
          </w:p>
        </w:tc>
      </w:tr>
      <w:tr>
        <w:tc>
          <w:tcPr>
            <w:tcW w:type="dxa" w:w="2160"/>
          </w:tcPr>
          <w:p>
            <w:r>
              <w:t>San Francisco</w:t>
            </w:r>
          </w:p>
        </w:tc>
        <w:tc>
          <w:tcPr>
            <w:tcW w:type="dxa" w:w="2160"/>
          </w:tcPr>
          <w:p>
            <w:r>
              <w:t>A</w:t>
            </w:r>
          </w:p>
        </w:tc>
        <w:tc>
          <w:tcPr>
            <w:tcW w:type="dxa" w:w="2160"/>
          </w:tcPr>
          <w:p>
            <w:r>
              <w:t>Frankfurt</w:t>
            </w:r>
          </w:p>
        </w:tc>
        <w:tc>
          <w:tcPr>
            <w:tcW w:type="dxa" w:w="2160"/>
          </w:tcPr>
          <w:p>
            <w:r>
              <w:t>B</w:t>
            </w:r>
          </w:p>
        </w:tc>
      </w:tr>
    </w:tbl>
    <w:p>
      <w:pPr>
        <w:pStyle w:val="Heading2"/>
      </w:pPr>
      <w:r>
        <w:t>Working Hours and On-Call</w:t>
      </w:r>
    </w:p>
    <w:p>
      <w:r>
        <w:t>Standard contractual hours are set per country, and on-call applies only to roles designated in the staffing system. On-call compensation combines a standby rate per rostered day with an intervention rate per activated hour, both differentiated by weekday and public holiday. Activations are logged automatically by the paging system, and disputes are resolved against that log.</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Roster type</w:t>
            </w:r>
          </w:p>
        </w:tc>
        <w:tc>
          <w:tcPr>
            <w:tcW w:type="dxa" w:w="1728"/>
          </w:tcPr>
          <w:p>
            <w:r>
              <w:t>Standby weekday (EUR/day)</w:t>
            </w:r>
          </w:p>
        </w:tc>
        <w:tc>
          <w:tcPr>
            <w:tcW w:type="dxa" w:w="1728"/>
          </w:tcPr>
          <w:p>
            <w:r>
              <w:t>Standby holiday (EUR/day)</w:t>
            </w:r>
          </w:p>
        </w:tc>
        <w:tc>
          <w:tcPr>
            <w:tcW w:type="dxa" w:w="1728"/>
          </w:tcPr>
          <w:p>
            <w:r>
              <w:t>Intervention rate (EUR/hour)</w:t>
            </w:r>
          </w:p>
        </w:tc>
        <w:tc>
          <w:tcPr>
            <w:tcW w:type="dxa" w:w="1728"/>
          </w:tcPr>
          <w:p>
            <w:r>
              <w:t>Max consecutive days</w:t>
            </w:r>
          </w:p>
        </w:tc>
      </w:tr>
      <w:tr>
        <w:tc>
          <w:tcPr>
            <w:tcW w:type="dxa" w:w="1728"/>
          </w:tcPr>
          <w:p>
            <w:r>
              <w:t>Platform on-call</w:t>
            </w:r>
          </w:p>
        </w:tc>
        <w:tc>
          <w:tcPr>
            <w:tcW w:type="dxa" w:w="1728"/>
          </w:tcPr>
          <w:p>
            <w:r>
              <w:t>40</w:t>
            </w:r>
          </w:p>
        </w:tc>
        <w:tc>
          <w:tcPr>
            <w:tcW w:type="dxa" w:w="1728"/>
          </w:tcPr>
          <w:p>
            <w:r>
              <w:t>80</w:t>
            </w:r>
          </w:p>
        </w:tc>
        <w:tc>
          <w:tcPr>
            <w:tcW w:type="dxa" w:w="1728"/>
          </w:tcPr>
          <w:p>
            <w:r>
              <w:t>55</w:t>
            </w:r>
          </w:p>
        </w:tc>
        <w:tc>
          <w:tcPr>
            <w:tcW w:type="dxa" w:w="1728"/>
          </w:tcPr>
          <w:p>
            <w:r>
              <w:t>7</w:t>
            </w:r>
          </w:p>
        </w:tc>
      </w:tr>
      <w:tr>
        <w:tc>
          <w:tcPr>
            <w:tcW w:type="dxa" w:w="1728"/>
          </w:tcPr>
          <w:p>
            <w:r>
              <w:t>Client production support</w:t>
            </w:r>
          </w:p>
        </w:tc>
        <w:tc>
          <w:tcPr>
            <w:tcW w:type="dxa" w:w="1728"/>
          </w:tcPr>
          <w:p>
            <w:r>
              <w:t>55</w:t>
            </w:r>
          </w:p>
        </w:tc>
        <w:tc>
          <w:tcPr>
            <w:tcW w:type="dxa" w:w="1728"/>
          </w:tcPr>
          <w:p>
            <w:r>
              <w:t>110</w:t>
            </w:r>
          </w:p>
        </w:tc>
        <w:tc>
          <w:tcPr>
            <w:tcW w:type="dxa" w:w="1728"/>
          </w:tcPr>
          <w:p>
            <w:r>
              <w:t>70</w:t>
            </w:r>
          </w:p>
        </w:tc>
        <w:tc>
          <w:tcPr>
            <w:tcW w:type="dxa" w:w="1728"/>
          </w:tcPr>
          <w:p>
            <w:r>
              <w:t>7</w:t>
            </w:r>
          </w:p>
        </w:tc>
      </w:tr>
      <w:tr>
        <w:tc>
          <w:tcPr>
            <w:tcW w:type="dxa" w:w="1728"/>
          </w:tcPr>
          <w:p>
            <w:r>
              <w:t>Security incident response</w:t>
            </w:r>
          </w:p>
        </w:tc>
        <w:tc>
          <w:tcPr>
            <w:tcW w:type="dxa" w:w="1728"/>
          </w:tcPr>
          <w:p>
            <w:r>
              <w:t>70</w:t>
            </w:r>
          </w:p>
        </w:tc>
        <w:tc>
          <w:tcPr>
            <w:tcW w:type="dxa" w:w="1728"/>
          </w:tcPr>
          <w:p>
            <w:r>
              <w:t>140</w:t>
            </w:r>
          </w:p>
        </w:tc>
        <w:tc>
          <w:tcPr>
            <w:tcW w:type="dxa" w:w="1728"/>
          </w:tcPr>
          <w:p>
            <w:r>
              <w:t>90</w:t>
            </w:r>
          </w:p>
        </w:tc>
        <w:tc>
          <w:tcPr>
            <w:tcW w:type="dxa" w:w="1728"/>
          </w:tcPr>
          <w:p>
            <w:r>
              <w:t>5</w:t>
            </w:r>
          </w:p>
        </w:tc>
      </w:tr>
      <w:tr>
        <w:tc>
          <w:tcPr>
            <w:tcW w:type="dxa" w:w="1728"/>
          </w:tcPr>
          <w:p>
            <w:r>
              <w:t>Data center hands</w:t>
            </w:r>
          </w:p>
        </w:tc>
        <w:tc>
          <w:tcPr>
            <w:tcW w:type="dxa" w:w="1728"/>
          </w:tcPr>
          <w:p>
            <w:r>
              <w:t>35</w:t>
            </w:r>
          </w:p>
        </w:tc>
        <w:tc>
          <w:tcPr>
            <w:tcW w:type="dxa" w:w="1728"/>
          </w:tcPr>
          <w:p>
            <w:r>
              <w:t>70</w:t>
            </w:r>
          </w:p>
        </w:tc>
        <w:tc>
          <w:tcPr>
            <w:tcW w:type="dxa" w:w="1728"/>
          </w:tcPr>
          <w:p>
            <w:r>
              <w:t>50</w:t>
            </w:r>
          </w:p>
        </w:tc>
        <w:tc>
          <w:tcPr>
            <w:tcW w:type="dxa" w:w="1728"/>
          </w:tcPr>
          <w:p>
            <w:r>
              <w:t>10</w:t>
            </w:r>
          </w:p>
        </w:tc>
      </w:tr>
      <w:tr>
        <w:tc>
          <w:tcPr>
            <w:tcW w:type="dxa" w:w="1728"/>
          </w:tcPr>
          <w:p>
            <w:r>
              <w:t>Executive escalation duty</w:t>
            </w:r>
          </w:p>
        </w:tc>
        <w:tc>
          <w:tcPr>
            <w:tcW w:type="dxa" w:w="1728"/>
          </w:tcPr>
          <w:p>
            <w:r>
              <w:t>0</w:t>
            </w:r>
          </w:p>
        </w:tc>
        <w:tc>
          <w:tcPr>
            <w:tcW w:type="dxa" w:w="1728"/>
          </w:tcPr>
          <w:p>
            <w:r>
              <w:t>0</w:t>
            </w:r>
          </w:p>
        </w:tc>
        <w:tc>
          <w:tcPr>
            <w:tcW w:type="dxa" w:w="1728"/>
          </w:tcPr>
          <w:p>
            <w:r>
              <w:t>0</w:t>
            </w:r>
          </w:p>
        </w:tc>
        <w:tc>
          <w:tcPr>
            <w:tcW w:type="dxa" w:w="1728"/>
          </w:tcPr>
          <w:p>
            <w:r>
              <w:t>14</w:t>
            </w:r>
          </w:p>
        </w:tc>
      </w:tr>
      <w:tr>
        <w:tc>
          <w:tcPr>
            <w:tcW w:type="dxa" w:w="1728"/>
          </w:tcPr>
          <w:p>
            <w:r>
              <w:t>Facilities emergency</w:t>
            </w:r>
          </w:p>
        </w:tc>
        <w:tc>
          <w:tcPr>
            <w:tcW w:type="dxa" w:w="1728"/>
          </w:tcPr>
          <w:p>
            <w:r>
              <w:t>30</w:t>
            </w:r>
          </w:p>
        </w:tc>
        <w:tc>
          <w:tcPr>
            <w:tcW w:type="dxa" w:w="1728"/>
          </w:tcPr>
          <w:p>
            <w:r>
              <w:t>60</w:t>
            </w:r>
          </w:p>
        </w:tc>
        <w:tc>
          <w:tcPr>
            <w:tcW w:type="dxa" w:w="1728"/>
          </w:tcPr>
          <w:p>
            <w:r>
              <w:t>45</w:t>
            </w:r>
          </w:p>
        </w:tc>
        <w:tc>
          <w:tcPr>
            <w:tcW w:type="dxa" w:w="1728"/>
          </w:tcPr>
          <w:p>
            <w:r>
              <w:t>10</w:t>
            </w:r>
          </w:p>
        </w:tc>
      </w:tr>
    </w:tbl>
    <w:p>
      <w:r>
        <w:t>An employee may not be rostered for more than the maximum consecutive days shown above, and a rest day is mandatory after any night with more than four activated hours. Standby days count toward neither overtime nor the working-time average; activated hours count toward both.</w:t>
      </w:r>
    </w:p>
    <w:p>
      <w:pPr>
        <w:pStyle w:val="Heading2"/>
      </w:pPr>
      <w:r>
        <w:t>Leave Entitlements by Country</w:t>
      </w:r>
    </w:p>
    <w:p>
      <w:r>
        <w:t>Annual leave follows the country of the employment contract, not the country of assignment. The figures below are working days per calendar year and include any statutory minimum; they do not include public holidays, which follow the office calendar of the contract country.</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Country</w:t>
            </w:r>
          </w:p>
        </w:tc>
        <w:tc>
          <w:tcPr>
            <w:tcW w:type="dxa" w:w="1728"/>
          </w:tcPr>
          <w:p>
            <w:r>
              <w:t>Annual leave (days)</w:t>
            </w:r>
          </w:p>
        </w:tc>
        <w:tc>
          <w:tcPr>
            <w:tcW w:type="dxa" w:w="1728"/>
          </w:tcPr>
          <w:p>
            <w:r>
              <w:t>Carry-over limit (days)</w:t>
            </w:r>
          </w:p>
        </w:tc>
        <w:tc>
          <w:tcPr>
            <w:tcW w:type="dxa" w:w="1728"/>
          </w:tcPr>
          <w:p>
            <w:r>
              <w:t>Carry-over deadline</w:t>
            </w:r>
          </w:p>
        </w:tc>
        <w:tc>
          <w:tcPr>
            <w:tcW w:type="dxa" w:w="1728"/>
          </w:tcPr>
          <w:p>
            <w:r>
              <w:t>Sick pay top-up</w:t>
            </w:r>
          </w:p>
        </w:tc>
      </w:tr>
      <w:tr>
        <w:tc>
          <w:tcPr>
            <w:tcW w:type="dxa" w:w="1728"/>
          </w:tcPr>
          <w:p>
            <w:r>
              <w:t>Italy</w:t>
            </w:r>
          </w:p>
        </w:tc>
        <w:tc>
          <w:tcPr>
            <w:tcW w:type="dxa" w:w="1728"/>
          </w:tcPr>
          <w:p>
            <w:r>
              <w:t>26</w:t>
            </w:r>
          </w:p>
        </w:tc>
        <w:tc>
          <w:tcPr>
            <w:tcW w:type="dxa" w:w="1728"/>
          </w:tcPr>
          <w:p>
            <w:r>
              <w:t>10</w:t>
            </w:r>
          </w:p>
        </w:tc>
        <w:tc>
          <w:tcPr>
            <w:tcW w:type="dxa" w:w="1728"/>
          </w:tcPr>
          <w:p>
            <w:r>
              <w:t>30 June</w:t>
            </w:r>
          </w:p>
        </w:tc>
        <w:tc>
          <w:tcPr>
            <w:tcW w:type="dxa" w:w="1728"/>
          </w:tcPr>
          <w:p>
            <w:r>
              <w:t>100% for 180 days</w:t>
            </w:r>
          </w:p>
        </w:tc>
      </w:tr>
      <w:tr>
        <w:tc>
          <w:tcPr>
            <w:tcW w:type="dxa" w:w="1728"/>
          </w:tcPr>
          <w:p>
            <w:r>
              <w:t>Germany</w:t>
            </w:r>
          </w:p>
        </w:tc>
        <w:tc>
          <w:tcPr>
            <w:tcW w:type="dxa" w:w="1728"/>
          </w:tcPr>
          <w:p>
            <w:r>
              <w:t>28</w:t>
            </w:r>
          </w:p>
        </w:tc>
        <w:tc>
          <w:tcPr>
            <w:tcW w:type="dxa" w:w="1728"/>
          </w:tcPr>
          <w:p>
            <w:r>
              <w:t>5</w:t>
            </w:r>
          </w:p>
        </w:tc>
        <w:tc>
          <w:tcPr>
            <w:tcW w:type="dxa" w:w="1728"/>
          </w:tcPr>
          <w:p>
            <w:r>
              <w:t>31 March</w:t>
            </w:r>
          </w:p>
        </w:tc>
        <w:tc>
          <w:tcPr>
            <w:tcW w:type="dxa" w:w="1728"/>
          </w:tcPr>
          <w:p>
            <w:r>
              <w:t>100% for 42 days</w:t>
            </w:r>
          </w:p>
        </w:tc>
      </w:tr>
      <w:tr>
        <w:tc>
          <w:tcPr>
            <w:tcW w:type="dxa" w:w="1728"/>
          </w:tcPr>
          <w:p>
            <w:r>
              <w:t>France</w:t>
            </w:r>
          </w:p>
        </w:tc>
        <w:tc>
          <w:tcPr>
            <w:tcW w:type="dxa" w:w="1728"/>
          </w:tcPr>
          <w:p>
            <w:r>
              <w:t>27</w:t>
            </w:r>
          </w:p>
        </w:tc>
        <w:tc>
          <w:tcPr>
            <w:tcW w:type="dxa" w:w="1728"/>
          </w:tcPr>
          <w:p>
            <w:r>
              <w:t>6</w:t>
            </w:r>
          </w:p>
        </w:tc>
        <w:tc>
          <w:tcPr>
            <w:tcW w:type="dxa" w:w="1728"/>
          </w:tcPr>
          <w:p>
            <w:r>
              <w:t>31 May</w:t>
            </w:r>
          </w:p>
        </w:tc>
        <w:tc>
          <w:tcPr>
            <w:tcW w:type="dxa" w:w="1728"/>
          </w:tcPr>
          <w:p>
            <w:r>
              <w:t>90% for 90 days</w:t>
            </w:r>
          </w:p>
        </w:tc>
      </w:tr>
      <w:tr>
        <w:tc>
          <w:tcPr>
            <w:tcW w:type="dxa" w:w="1728"/>
          </w:tcPr>
          <w:p>
            <w:r>
              <w:t>Spain</w:t>
            </w:r>
          </w:p>
        </w:tc>
        <w:tc>
          <w:tcPr>
            <w:tcW w:type="dxa" w:w="1728"/>
          </w:tcPr>
          <w:p>
            <w:r>
              <w:t>25</w:t>
            </w:r>
          </w:p>
        </w:tc>
        <w:tc>
          <w:tcPr>
            <w:tcW w:type="dxa" w:w="1728"/>
          </w:tcPr>
          <w:p>
            <w:r>
              <w:t>8</w:t>
            </w:r>
          </w:p>
        </w:tc>
        <w:tc>
          <w:tcPr>
            <w:tcW w:type="dxa" w:w="1728"/>
          </w:tcPr>
          <w:p>
            <w:r>
              <w:t>31 March</w:t>
            </w:r>
          </w:p>
        </w:tc>
        <w:tc>
          <w:tcPr>
            <w:tcW w:type="dxa" w:w="1728"/>
          </w:tcPr>
          <w:p>
            <w:r>
              <w:t>100% for 60 days</w:t>
            </w:r>
          </w:p>
        </w:tc>
      </w:tr>
      <w:tr>
        <w:tc>
          <w:tcPr>
            <w:tcW w:type="dxa" w:w="1728"/>
          </w:tcPr>
          <w:p>
            <w:r>
              <w:t>Poland</w:t>
            </w:r>
          </w:p>
        </w:tc>
        <w:tc>
          <w:tcPr>
            <w:tcW w:type="dxa" w:w="1728"/>
          </w:tcPr>
          <w:p>
            <w:r>
              <w:t>26</w:t>
            </w:r>
          </w:p>
        </w:tc>
        <w:tc>
          <w:tcPr>
            <w:tcW w:type="dxa" w:w="1728"/>
          </w:tcPr>
          <w:p>
            <w:r>
              <w:t>12</w:t>
            </w:r>
          </w:p>
        </w:tc>
        <w:tc>
          <w:tcPr>
            <w:tcW w:type="dxa" w:w="1728"/>
          </w:tcPr>
          <w:p>
            <w:r>
              <w:t>30 September</w:t>
            </w:r>
          </w:p>
        </w:tc>
        <w:tc>
          <w:tcPr>
            <w:tcW w:type="dxa" w:w="1728"/>
          </w:tcPr>
          <w:p>
            <w:r>
              <w:t>80% for 33 days</w:t>
            </w:r>
          </w:p>
        </w:tc>
      </w:tr>
      <w:tr>
        <w:tc>
          <w:tcPr>
            <w:tcW w:type="dxa" w:w="1728"/>
          </w:tcPr>
          <w:p>
            <w:r>
              <w:t>Netherlands</w:t>
            </w:r>
          </w:p>
        </w:tc>
        <w:tc>
          <w:tcPr>
            <w:tcW w:type="dxa" w:w="1728"/>
          </w:tcPr>
          <w:p>
            <w:r>
              <w:t>27</w:t>
            </w:r>
          </w:p>
        </w:tc>
        <w:tc>
          <w:tcPr>
            <w:tcW w:type="dxa" w:w="1728"/>
          </w:tcPr>
          <w:p>
            <w:r>
              <w:t>8</w:t>
            </w:r>
          </w:p>
        </w:tc>
        <w:tc>
          <w:tcPr>
            <w:tcW w:type="dxa" w:w="1728"/>
          </w:tcPr>
          <w:p>
            <w:r>
              <w:t>1 July</w:t>
            </w:r>
          </w:p>
        </w:tc>
        <w:tc>
          <w:tcPr>
            <w:tcW w:type="dxa" w:w="1728"/>
          </w:tcPr>
          <w:p>
            <w:r>
              <w:t>100% for 104 days</w:t>
            </w:r>
          </w:p>
        </w:tc>
      </w:tr>
      <w:tr>
        <w:tc>
          <w:tcPr>
            <w:tcW w:type="dxa" w:w="1728"/>
          </w:tcPr>
          <w:p>
            <w:r>
              <w:t>Sweden</w:t>
            </w:r>
          </w:p>
        </w:tc>
        <w:tc>
          <w:tcPr>
            <w:tcW w:type="dxa" w:w="1728"/>
          </w:tcPr>
          <w:p>
            <w:r>
              <w:t>28</w:t>
            </w:r>
          </w:p>
        </w:tc>
        <w:tc>
          <w:tcPr>
            <w:tcW w:type="dxa" w:w="1728"/>
          </w:tcPr>
          <w:p>
            <w:r>
              <w:t>5</w:t>
            </w:r>
          </w:p>
        </w:tc>
        <w:tc>
          <w:tcPr>
            <w:tcW w:type="dxa" w:w="1728"/>
          </w:tcPr>
          <w:p>
            <w:r>
              <w:t>31 March</w:t>
            </w:r>
          </w:p>
        </w:tc>
        <w:tc>
          <w:tcPr>
            <w:tcW w:type="dxa" w:w="1728"/>
          </w:tcPr>
          <w:p>
            <w:r>
              <w:t>90% for 90 days</w:t>
            </w:r>
          </w:p>
        </w:tc>
      </w:tr>
      <w:tr>
        <w:tc>
          <w:tcPr>
            <w:tcW w:type="dxa" w:w="1728"/>
          </w:tcPr>
          <w:p>
            <w:r>
              <w:t>Denmark</w:t>
            </w:r>
          </w:p>
        </w:tc>
        <w:tc>
          <w:tcPr>
            <w:tcW w:type="dxa" w:w="1728"/>
          </w:tcPr>
          <w:p>
            <w:r>
              <w:t>27</w:t>
            </w:r>
          </w:p>
        </w:tc>
        <w:tc>
          <w:tcPr>
            <w:tcW w:type="dxa" w:w="1728"/>
          </w:tcPr>
          <w:p>
            <w:r>
              <w:t>5</w:t>
            </w:r>
          </w:p>
        </w:tc>
        <w:tc>
          <w:tcPr>
            <w:tcW w:type="dxa" w:w="1728"/>
          </w:tcPr>
          <w:p>
            <w:r>
              <w:t>30 April</w:t>
            </w:r>
          </w:p>
        </w:tc>
        <w:tc>
          <w:tcPr>
            <w:tcW w:type="dxa" w:w="1728"/>
          </w:tcPr>
          <w:p>
            <w:r>
              <w:t>100% for 56 days</w:t>
            </w:r>
          </w:p>
        </w:tc>
      </w:tr>
      <w:tr>
        <w:tc>
          <w:tcPr>
            <w:tcW w:type="dxa" w:w="1728"/>
          </w:tcPr>
          <w:p>
            <w:r>
              <w:t>Austria</w:t>
            </w:r>
          </w:p>
        </w:tc>
        <w:tc>
          <w:tcPr>
            <w:tcW w:type="dxa" w:w="1728"/>
          </w:tcPr>
          <w:p>
            <w:r>
              <w:t>26</w:t>
            </w:r>
          </w:p>
        </w:tc>
        <w:tc>
          <w:tcPr>
            <w:tcW w:type="dxa" w:w="1728"/>
          </w:tcPr>
          <w:p>
            <w:r>
              <w:t>8</w:t>
            </w:r>
          </w:p>
        </w:tc>
        <w:tc>
          <w:tcPr>
            <w:tcW w:type="dxa" w:w="1728"/>
          </w:tcPr>
          <w:p>
            <w:r>
              <w:t>31 March</w:t>
            </w:r>
          </w:p>
        </w:tc>
        <w:tc>
          <w:tcPr>
            <w:tcW w:type="dxa" w:w="1728"/>
          </w:tcPr>
          <w:p>
            <w:r>
              <w:t>100% for 42 days</w:t>
            </w:r>
          </w:p>
        </w:tc>
      </w:tr>
      <w:tr>
        <w:tc>
          <w:tcPr>
            <w:tcW w:type="dxa" w:w="1728"/>
          </w:tcPr>
          <w:p>
            <w:r>
              <w:t>Portugal</w:t>
            </w:r>
          </w:p>
        </w:tc>
        <w:tc>
          <w:tcPr>
            <w:tcW w:type="dxa" w:w="1728"/>
          </w:tcPr>
          <w:p>
            <w:r>
              <w:t>25</w:t>
            </w:r>
          </w:p>
        </w:tc>
        <w:tc>
          <w:tcPr>
            <w:tcW w:type="dxa" w:w="1728"/>
          </w:tcPr>
          <w:p>
            <w:r>
              <w:t>7</w:t>
            </w:r>
          </w:p>
        </w:tc>
        <w:tc>
          <w:tcPr>
            <w:tcW w:type="dxa" w:w="1728"/>
          </w:tcPr>
          <w:p>
            <w:r>
              <w:t>30 April</w:t>
            </w:r>
          </w:p>
        </w:tc>
        <w:tc>
          <w:tcPr>
            <w:tcW w:type="dxa" w:w="1728"/>
          </w:tcPr>
          <w:p>
            <w:r>
              <w:t>100% for 90 days</w:t>
            </w:r>
          </w:p>
        </w:tc>
      </w:tr>
      <w:tr>
        <w:tc>
          <w:tcPr>
            <w:tcW w:type="dxa" w:w="1728"/>
          </w:tcPr>
          <w:p>
            <w:r>
              <w:t>Switzerland</w:t>
            </w:r>
          </w:p>
        </w:tc>
        <w:tc>
          <w:tcPr>
            <w:tcW w:type="dxa" w:w="1728"/>
          </w:tcPr>
          <w:p>
            <w:r>
              <w:t>25</w:t>
            </w:r>
          </w:p>
        </w:tc>
        <w:tc>
          <w:tcPr>
            <w:tcW w:type="dxa" w:w="1728"/>
          </w:tcPr>
          <w:p>
            <w:r>
              <w:t>5</w:t>
            </w:r>
          </w:p>
        </w:tc>
        <w:tc>
          <w:tcPr>
            <w:tcW w:type="dxa" w:w="1728"/>
          </w:tcPr>
          <w:p>
            <w:r>
              <w:t>31 March</w:t>
            </w:r>
          </w:p>
        </w:tc>
        <w:tc>
          <w:tcPr>
            <w:tcW w:type="dxa" w:w="1728"/>
          </w:tcPr>
          <w:p>
            <w:r>
              <w:t>80% for 90 days</w:t>
            </w:r>
          </w:p>
        </w:tc>
      </w:tr>
      <w:tr>
        <w:tc>
          <w:tcPr>
            <w:tcW w:type="dxa" w:w="1728"/>
          </w:tcPr>
          <w:p>
            <w:r>
              <w:t>United Kingdom</w:t>
            </w:r>
          </w:p>
        </w:tc>
        <w:tc>
          <w:tcPr>
            <w:tcW w:type="dxa" w:w="1728"/>
          </w:tcPr>
          <w:p>
            <w:r>
              <w:t>27</w:t>
            </w:r>
          </w:p>
        </w:tc>
        <w:tc>
          <w:tcPr>
            <w:tcW w:type="dxa" w:w="1728"/>
          </w:tcPr>
          <w:p>
            <w:r>
              <w:t>5</w:t>
            </w:r>
          </w:p>
        </w:tc>
        <w:tc>
          <w:tcPr>
            <w:tcW w:type="dxa" w:w="1728"/>
          </w:tcPr>
          <w:p>
            <w:r>
              <w:t>31 March</w:t>
            </w:r>
          </w:p>
        </w:tc>
        <w:tc>
          <w:tcPr>
            <w:tcW w:type="dxa" w:w="1728"/>
          </w:tcPr>
          <w:p>
            <w:r>
              <w:t>100% for 28 days</w:t>
            </w:r>
          </w:p>
        </w:tc>
      </w:tr>
      <w:tr>
        <w:tc>
          <w:tcPr>
            <w:tcW w:type="dxa" w:w="1728"/>
          </w:tcPr>
          <w:p>
            <w:r>
              <w:t>United States</w:t>
            </w:r>
          </w:p>
        </w:tc>
        <w:tc>
          <w:tcPr>
            <w:tcW w:type="dxa" w:w="1728"/>
          </w:tcPr>
          <w:p>
            <w:r>
              <w:t>20</w:t>
            </w:r>
          </w:p>
        </w:tc>
        <w:tc>
          <w:tcPr>
            <w:tcW w:type="dxa" w:w="1728"/>
          </w:tcPr>
          <w:p>
            <w:r>
              <w:t>0</w:t>
            </w:r>
          </w:p>
        </w:tc>
        <w:tc>
          <w:tcPr>
            <w:tcW w:type="dxa" w:w="1728"/>
          </w:tcPr>
          <w:p>
            <w:r>
              <w:t>not applicable</w:t>
            </w:r>
          </w:p>
        </w:tc>
        <w:tc>
          <w:tcPr>
            <w:tcW w:type="dxa" w:w="1728"/>
          </w:tcPr>
          <w:p>
            <w:r>
              <w:t>per state schedule</w:t>
            </w:r>
          </w:p>
        </w:tc>
      </w:tr>
      <w:tr>
        <w:tc>
          <w:tcPr>
            <w:tcW w:type="dxa" w:w="1728"/>
          </w:tcPr>
          <w:p>
            <w:r>
              <w:t>Canada</w:t>
            </w:r>
          </w:p>
        </w:tc>
        <w:tc>
          <w:tcPr>
            <w:tcW w:type="dxa" w:w="1728"/>
          </w:tcPr>
          <w:p>
            <w:r>
              <w:t>21</w:t>
            </w:r>
          </w:p>
        </w:tc>
        <w:tc>
          <w:tcPr>
            <w:tcW w:type="dxa" w:w="1728"/>
          </w:tcPr>
          <w:p>
            <w:r>
              <w:t>5</w:t>
            </w:r>
          </w:p>
        </w:tc>
        <w:tc>
          <w:tcPr>
            <w:tcW w:type="dxa" w:w="1728"/>
          </w:tcPr>
          <w:p>
            <w:r>
              <w:t>31 March</w:t>
            </w:r>
          </w:p>
        </w:tc>
        <w:tc>
          <w:tcPr>
            <w:tcW w:type="dxa" w:w="1728"/>
          </w:tcPr>
          <w:p>
            <w:r>
              <w:t>per province schedule</w:t>
            </w:r>
          </w:p>
        </w:tc>
      </w:tr>
    </w:tbl>
    <w:p>
      <w:r>
        <w:t>Unused days beyond the carry-over limit lapse at year end without compensation, except where local law requires payout. Parental, marriage, and bereavement leave follow the country annex and are not summarized in this table.</w:t>
      </w:r>
    </w:p>
    <w:p>
      <w:pPr>
        <w:pStyle w:val="Heading2"/>
      </w:pPr>
      <w:r>
        <w:t>Equipment and Software Provisioning</w:t>
      </w:r>
    </w:p>
    <w:p>
      <w:r>
        <w:t>Equipment follows the role profile, not the grade. A profile change triggers a provisioning ticket automatically, and returned devices are wiped following the NIST 800-88 clear standard before reuse or recycling. Peripherals below fifty euros are stocked in the office supply room and require no ticket.</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t>Role profile</w:t>
            </w:r>
          </w:p>
        </w:tc>
        <w:tc>
          <w:tcPr>
            <w:tcW w:type="dxa" w:w="1440"/>
          </w:tcPr>
          <w:p>
            <w:r>
              <w:t>Laptop model class</w:t>
            </w:r>
          </w:p>
        </w:tc>
        <w:tc>
          <w:tcPr>
            <w:tcW w:type="dxa" w:w="1440"/>
          </w:tcPr>
          <w:p>
            <w:r>
              <w:t>Refresh cycle (months)</w:t>
            </w:r>
          </w:p>
        </w:tc>
        <w:tc>
          <w:tcPr>
            <w:tcW w:type="dxa" w:w="1440"/>
          </w:tcPr>
          <w:p>
            <w:r>
              <w:t>External monitors</w:t>
            </w:r>
          </w:p>
        </w:tc>
        <w:tc>
          <w:tcPr>
            <w:tcW w:type="dxa" w:w="1440"/>
          </w:tcPr>
          <w:p>
            <w:r>
              <w:t>Mobile allowance (EUR/month)</w:t>
            </w:r>
          </w:p>
        </w:tc>
        <w:tc>
          <w:tcPr>
            <w:tcW w:type="dxa" w:w="1440"/>
          </w:tcPr>
          <w:p>
            <w:r>
              <w:t>Admin rights</w:t>
            </w:r>
          </w:p>
        </w:tc>
      </w:tr>
      <w:tr>
        <w:tc>
          <w:tcPr>
            <w:tcW w:type="dxa" w:w="1440"/>
          </w:tcPr>
          <w:p>
            <w:r>
              <w:t>Standard office</w:t>
            </w:r>
          </w:p>
        </w:tc>
        <w:tc>
          <w:tcPr>
            <w:tcW w:type="dxa" w:w="1440"/>
          </w:tcPr>
          <w:p>
            <w:r>
              <w:t>13-inch ultrabook</w:t>
            </w:r>
          </w:p>
        </w:tc>
        <w:tc>
          <w:tcPr>
            <w:tcW w:type="dxa" w:w="1440"/>
          </w:tcPr>
          <w:p>
            <w:r>
              <w:t>42</w:t>
            </w:r>
          </w:p>
        </w:tc>
        <w:tc>
          <w:tcPr>
            <w:tcW w:type="dxa" w:w="1440"/>
          </w:tcPr>
          <w:p>
            <w:r>
              <w:t>1</w:t>
            </w:r>
          </w:p>
        </w:tc>
        <w:tc>
          <w:tcPr>
            <w:tcW w:type="dxa" w:w="1440"/>
          </w:tcPr>
          <w:p>
            <w:r>
              <w:t>0</w:t>
            </w:r>
          </w:p>
        </w:tc>
        <w:tc>
          <w:tcPr>
            <w:tcW w:type="dxa" w:w="1440"/>
          </w:tcPr>
          <w:p>
            <w:r>
              <w:t>No</w:t>
            </w:r>
          </w:p>
        </w:tc>
      </w:tr>
      <w:tr>
        <w:tc>
          <w:tcPr>
            <w:tcW w:type="dxa" w:w="1440"/>
          </w:tcPr>
          <w:p>
            <w:r>
              <w:t>Consulting delivery</w:t>
            </w:r>
          </w:p>
        </w:tc>
        <w:tc>
          <w:tcPr>
            <w:tcW w:type="dxa" w:w="1440"/>
          </w:tcPr>
          <w:p>
            <w:r>
              <w:t>14-inch performance</w:t>
            </w:r>
          </w:p>
        </w:tc>
        <w:tc>
          <w:tcPr>
            <w:tcW w:type="dxa" w:w="1440"/>
          </w:tcPr>
          <w:p>
            <w:r>
              <w:t>36</w:t>
            </w:r>
          </w:p>
        </w:tc>
        <w:tc>
          <w:tcPr>
            <w:tcW w:type="dxa" w:w="1440"/>
          </w:tcPr>
          <w:p>
            <w:r>
              <w:t>2</w:t>
            </w:r>
          </w:p>
        </w:tc>
        <w:tc>
          <w:tcPr>
            <w:tcW w:type="dxa" w:w="1440"/>
          </w:tcPr>
          <w:p>
            <w:r>
              <w:t>25</w:t>
            </w:r>
          </w:p>
        </w:tc>
        <w:tc>
          <w:tcPr>
            <w:tcW w:type="dxa" w:w="1440"/>
          </w:tcPr>
          <w:p>
            <w:r>
              <w:t>No</w:t>
            </w:r>
          </w:p>
        </w:tc>
      </w:tr>
      <w:tr>
        <w:tc>
          <w:tcPr>
            <w:tcW w:type="dxa" w:w="1440"/>
          </w:tcPr>
          <w:p>
            <w:r>
              <w:t>Data engineering</w:t>
            </w:r>
          </w:p>
        </w:tc>
        <w:tc>
          <w:tcPr>
            <w:tcW w:type="dxa" w:w="1440"/>
          </w:tcPr>
          <w:p>
            <w:r>
              <w:t>16-inch workstation</w:t>
            </w:r>
          </w:p>
        </w:tc>
        <w:tc>
          <w:tcPr>
            <w:tcW w:type="dxa" w:w="1440"/>
          </w:tcPr>
          <w:p>
            <w:r>
              <w:t>30</w:t>
            </w:r>
          </w:p>
        </w:tc>
        <w:tc>
          <w:tcPr>
            <w:tcW w:type="dxa" w:w="1440"/>
          </w:tcPr>
          <w:p>
            <w:r>
              <w:t>2</w:t>
            </w:r>
          </w:p>
        </w:tc>
        <w:tc>
          <w:tcPr>
            <w:tcW w:type="dxa" w:w="1440"/>
          </w:tcPr>
          <w:p>
            <w:r>
              <w:t>25</w:t>
            </w:r>
          </w:p>
        </w:tc>
        <w:tc>
          <w:tcPr>
            <w:tcW w:type="dxa" w:w="1440"/>
          </w:tcPr>
          <w:p>
            <w:r>
              <w:t>On request</w:t>
            </w:r>
          </w:p>
        </w:tc>
      </w:tr>
      <w:tr>
        <w:tc>
          <w:tcPr>
            <w:tcW w:type="dxa" w:w="1440"/>
          </w:tcPr>
          <w:p>
            <w:r>
              <w:t>Design and media</w:t>
            </w:r>
          </w:p>
        </w:tc>
        <w:tc>
          <w:tcPr>
            <w:tcW w:type="dxa" w:w="1440"/>
          </w:tcPr>
          <w:p>
            <w:r>
              <w:t>16-inch workstation</w:t>
            </w:r>
          </w:p>
        </w:tc>
        <w:tc>
          <w:tcPr>
            <w:tcW w:type="dxa" w:w="1440"/>
          </w:tcPr>
          <w:p>
            <w:r>
              <w:t>30</w:t>
            </w:r>
          </w:p>
        </w:tc>
        <w:tc>
          <w:tcPr>
            <w:tcW w:type="dxa" w:w="1440"/>
          </w:tcPr>
          <w:p>
            <w:r>
              <w:t>2</w:t>
            </w:r>
          </w:p>
        </w:tc>
        <w:tc>
          <w:tcPr>
            <w:tcW w:type="dxa" w:w="1440"/>
          </w:tcPr>
          <w:p>
            <w:r>
              <w:t>25</w:t>
            </w:r>
          </w:p>
        </w:tc>
        <w:tc>
          <w:tcPr>
            <w:tcW w:type="dxa" w:w="1440"/>
          </w:tcPr>
          <w:p>
            <w:r>
              <w:t>No</w:t>
            </w:r>
          </w:p>
        </w:tc>
      </w:tr>
      <w:tr>
        <w:tc>
          <w:tcPr>
            <w:tcW w:type="dxa" w:w="1440"/>
          </w:tcPr>
          <w:p>
            <w:r>
              <w:t>Field technician</w:t>
            </w:r>
          </w:p>
        </w:tc>
        <w:tc>
          <w:tcPr>
            <w:tcW w:type="dxa" w:w="1440"/>
          </w:tcPr>
          <w:p>
            <w:r>
              <w:t>Rugged 14-inch</w:t>
            </w:r>
          </w:p>
        </w:tc>
        <w:tc>
          <w:tcPr>
            <w:tcW w:type="dxa" w:w="1440"/>
          </w:tcPr>
          <w:p>
            <w:r>
              <w:t>48</w:t>
            </w:r>
          </w:p>
        </w:tc>
        <w:tc>
          <w:tcPr>
            <w:tcW w:type="dxa" w:w="1440"/>
          </w:tcPr>
          <w:p>
            <w:r>
              <w:t>1</w:t>
            </w:r>
          </w:p>
        </w:tc>
        <w:tc>
          <w:tcPr>
            <w:tcW w:type="dxa" w:w="1440"/>
          </w:tcPr>
          <w:p>
            <w:r>
              <w:t>40</w:t>
            </w:r>
          </w:p>
        </w:tc>
        <w:tc>
          <w:tcPr>
            <w:tcW w:type="dxa" w:w="1440"/>
          </w:tcPr>
          <w:p>
            <w:r>
              <w:t>Yes</w:t>
            </w:r>
          </w:p>
        </w:tc>
      </w:tr>
      <w:tr>
        <w:tc>
          <w:tcPr>
            <w:tcW w:type="dxa" w:w="1440"/>
          </w:tcPr>
          <w:p>
            <w:r>
              <w:t>Quality assurance lab</w:t>
            </w:r>
          </w:p>
        </w:tc>
        <w:tc>
          <w:tcPr>
            <w:tcW w:type="dxa" w:w="1440"/>
          </w:tcPr>
          <w:p>
            <w:r>
              <w:t>15-inch performance</w:t>
            </w:r>
          </w:p>
        </w:tc>
        <w:tc>
          <w:tcPr>
            <w:tcW w:type="dxa" w:w="1440"/>
          </w:tcPr>
          <w:p>
            <w:r>
              <w:t>36</w:t>
            </w:r>
          </w:p>
        </w:tc>
        <w:tc>
          <w:tcPr>
            <w:tcW w:type="dxa" w:w="1440"/>
          </w:tcPr>
          <w:p>
            <w:r>
              <w:t>2</w:t>
            </w:r>
          </w:p>
        </w:tc>
        <w:tc>
          <w:tcPr>
            <w:tcW w:type="dxa" w:w="1440"/>
          </w:tcPr>
          <w:p>
            <w:r>
              <w:t>0</w:t>
            </w:r>
          </w:p>
        </w:tc>
        <w:tc>
          <w:tcPr>
            <w:tcW w:type="dxa" w:w="1440"/>
          </w:tcPr>
          <w:p>
            <w:r>
              <w:t>On request</w:t>
            </w:r>
          </w:p>
        </w:tc>
      </w:tr>
      <w:tr>
        <w:tc>
          <w:tcPr>
            <w:tcW w:type="dxa" w:w="1440"/>
          </w:tcPr>
          <w:p>
            <w:r>
              <w:t>Reception and facilities</w:t>
            </w:r>
          </w:p>
        </w:tc>
        <w:tc>
          <w:tcPr>
            <w:tcW w:type="dxa" w:w="1440"/>
          </w:tcPr>
          <w:p>
            <w:r>
              <w:t>Desktop all-in-one</w:t>
            </w:r>
          </w:p>
        </w:tc>
        <w:tc>
          <w:tcPr>
            <w:tcW w:type="dxa" w:w="1440"/>
          </w:tcPr>
          <w:p>
            <w:r>
              <w:t>60</w:t>
            </w:r>
          </w:p>
        </w:tc>
        <w:tc>
          <w:tcPr>
            <w:tcW w:type="dxa" w:w="1440"/>
          </w:tcPr>
          <w:p>
            <w:r>
              <w:t>1</w:t>
            </w:r>
          </w:p>
        </w:tc>
        <w:tc>
          <w:tcPr>
            <w:tcW w:type="dxa" w:w="1440"/>
          </w:tcPr>
          <w:p>
            <w:r>
              <w:t>0</w:t>
            </w:r>
          </w:p>
        </w:tc>
        <w:tc>
          <w:tcPr>
            <w:tcW w:type="dxa" w:w="1440"/>
          </w:tcPr>
          <w:p>
            <w:r>
              <w:t>No</w:t>
            </w:r>
          </w:p>
        </w:tc>
      </w:tr>
      <w:tr>
        <w:tc>
          <w:tcPr>
            <w:tcW w:type="dxa" w:w="1440"/>
          </w:tcPr>
          <w:p>
            <w:r>
              <w:t>Executive</w:t>
            </w:r>
          </w:p>
        </w:tc>
        <w:tc>
          <w:tcPr>
            <w:tcW w:type="dxa" w:w="1440"/>
          </w:tcPr>
          <w:p>
            <w:r>
              <w:t>14-inch ultralight</w:t>
            </w:r>
          </w:p>
        </w:tc>
        <w:tc>
          <w:tcPr>
            <w:tcW w:type="dxa" w:w="1440"/>
          </w:tcPr>
          <w:p>
            <w:r>
              <w:t>24</w:t>
            </w:r>
          </w:p>
        </w:tc>
        <w:tc>
          <w:tcPr>
            <w:tcW w:type="dxa" w:w="1440"/>
          </w:tcPr>
          <w:p>
            <w:r>
              <w:t>2</w:t>
            </w:r>
          </w:p>
        </w:tc>
        <w:tc>
          <w:tcPr>
            <w:tcW w:type="dxa" w:w="1440"/>
          </w:tcPr>
          <w:p>
            <w:r>
              <w:t>60</w:t>
            </w:r>
          </w:p>
        </w:tc>
        <w:tc>
          <w:tcPr>
            <w:tcW w:type="dxa" w:w="1440"/>
          </w:tcPr>
          <w:p>
            <w:r>
              <w:t>No</w:t>
            </w:r>
          </w:p>
        </w:tc>
      </w:tr>
    </w:tbl>
    <w:p>
      <w:r>
        <w:t>Software is licensed per tier: the base tier installs automatically on every device, the professional tier requires manager approval in the portal, and the restricted tier requires both a business case and a security review. Personal software installations are prohibited on managed devices regardless of licence ownership.</w:t>
      </w:r>
    </w:p>
    <w:p>
      <w:pPr>
        <w:pStyle w:val="Heading2"/>
      </w:pPr>
      <w:r>
        <w:t>Records Retention Schedule</w:t>
      </w:r>
    </w:p>
    <w:p>
      <w:r>
        <w:t>Records are retained per the schedule below and destroyed in the first quarter following expiry, under a certificate of destruction for physical media. A legal hold notified by the general counsel suspends destruction for the records it names until the hold is released in writing. The schedule lists the controlling copy; convenience copies are destroyed when their business use ends.</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t>Record type</w:t>
            </w:r>
          </w:p>
        </w:tc>
        <w:tc>
          <w:tcPr>
            <w:tcW w:type="dxa" w:w="2160"/>
          </w:tcPr>
          <w:p>
            <w:r>
              <w:t>Retention period</w:t>
            </w:r>
          </w:p>
        </w:tc>
        <w:tc>
          <w:tcPr>
            <w:tcW w:type="dxa" w:w="2160"/>
          </w:tcPr>
          <w:p>
            <w:r>
              <w:t>Trigger event</w:t>
            </w:r>
          </w:p>
        </w:tc>
        <w:tc>
          <w:tcPr>
            <w:tcW w:type="dxa" w:w="2160"/>
          </w:tcPr>
          <w:p>
            <w:r>
              <w:t>Storage system</w:t>
            </w:r>
          </w:p>
        </w:tc>
      </w:tr>
      <w:tr>
        <w:tc>
          <w:tcPr>
            <w:tcW w:type="dxa" w:w="2160"/>
          </w:tcPr>
          <w:p>
            <w:r>
              <w:t>Employment contracts</w:t>
            </w:r>
          </w:p>
        </w:tc>
        <w:tc>
          <w:tcPr>
            <w:tcW w:type="dxa" w:w="2160"/>
          </w:tcPr>
          <w:p>
            <w:r>
              <w:t>10 years</w:t>
            </w:r>
          </w:p>
        </w:tc>
        <w:tc>
          <w:tcPr>
            <w:tcW w:type="dxa" w:w="2160"/>
          </w:tcPr>
          <w:p>
            <w:r>
              <w:t>End of employment</w:t>
            </w:r>
          </w:p>
        </w:tc>
        <w:tc>
          <w:tcPr>
            <w:tcW w:type="dxa" w:w="2160"/>
          </w:tcPr>
          <w:p>
            <w:r>
              <w:t>HR vault</w:t>
            </w:r>
          </w:p>
        </w:tc>
      </w:tr>
      <w:tr>
        <w:tc>
          <w:tcPr>
            <w:tcW w:type="dxa" w:w="2160"/>
          </w:tcPr>
          <w:p>
            <w:r>
              <w:t>Payroll records</w:t>
            </w:r>
          </w:p>
        </w:tc>
        <w:tc>
          <w:tcPr>
            <w:tcW w:type="dxa" w:w="2160"/>
          </w:tcPr>
          <w:p>
            <w:r>
              <w:t>10 years</w:t>
            </w:r>
          </w:p>
        </w:tc>
        <w:tc>
          <w:tcPr>
            <w:tcW w:type="dxa" w:w="2160"/>
          </w:tcPr>
          <w:p>
            <w:r>
              <w:t>Fiscal year close</w:t>
            </w:r>
          </w:p>
        </w:tc>
        <w:tc>
          <w:tcPr>
            <w:tcW w:type="dxa" w:w="2160"/>
          </w:tcPr>
          <w:p>
            <w:r>
              <w:t>Payroll archive</w:t>
            </w:r>
          </w:p>
        </w:tc>
      </w:tr>
      <w:tr>
        <w:tc>
          <w:tcPr>
            <w:tcW w:type="dxa" w:w="2160"/>
          </w:tcPr>
          <w:p>
            <w:r>
              <w:t>Recruitment files of non-hired candidates</w:t>
            </w:r>
          </w:p>
        </w:tc>
        <w:tc>
          <w:tcPr>
            <w:tcW w:type="dxa" w:w="2160"/>
          </w:tcPr>
          <w:p>
            <w:r>
              <w:t>18 months</w:t>
            </w:r>
          </w:p>
        </w:tc>
        <w:tc>
          <w:tcPr>
            <w:tcW w:type="dxa" w:w="2160"/>
          </w:tcPr>
          <w:p>
            <w:r>
              <w:t>Position closed</w:t>
            </w:r>
          </w:p>
        </w:tc>
        <w:tc>
          <w:tcPr>
            <w:tcW w:type="dxa" w:w="2160"/>
          </w:tcPr>
          <w:p>
            <w:r>
              <w:t>ATS</w:t>
            </w:r>
          </w:p>
        </w:tc>
      </w:tr>
      <w:tr>
        <w:tc>
          <w:tcPr>
            <w:tcW w:type="dxa" w:w="2160"/>
          </w:tcPr>
          <w:p>
            <w:r>
              <w:t>Working-time records</w:t>
            </w:r>
          </w:p>
        </w:tc>
        <w:tc>
          <w:tcPr>
            <w:tcW w:type="dxa" w:w="2160"/>
          </w:tcPr>
          <w:p>
            <w:r>
              <w:t>5 years</w:t>
            </w:r>
          </w:p>
        </w:tc>
        <w:tc>
          <w:tcPr>
            <w:tcW w:type="dxa" w:w="2160"/>
          </w:tcPr>
          <w:p>
            <w:r>
              <w:t>Calendar year close</w:t>
            </w:r>
          </w:p>
        </w:tc>
        <w:tc>
          <w:tcPr>
            <w:tcW w:type="dxa" w:w="2160"/>
          </w:tcPr>
          <w:p>
            <w:r>
              <w:t>HR vault</w:t>
            </w:r>
          </w:p>
        </w:tc>
      </w:tr>
      <w:tr>
        <w:tc>
          <w:tcPr>
            <w:tcW w:type="dxa" w:w="2160"/>
          </w:tcPr>
          <w:p>
            <w:r>
              <w:t>Expense reports and receipts</w:t>
            </w:r>
          </w:p>
        </w:tc>
        <w:tc>
          <w:tcPr>
            <w:tcW w:type="dxa" w:w="2160"/>
          </w:tcPr>
          <w:p>
            <w:r>
              <w:t>7 years</w:t>
            </w:r>
          </w:p>
        </w:tc>
        <w:tc>
          <w:tcPr>
            <w:tcW w:type="dxa" w:w="2160"/>
          </w:tcPr>
          <w:p>
            <w:r>
              <w:t>Fiscal year close</w:t>
            </w:r>
          </w:p>
        </w:tc>
        <w:tc>
          <w:tcPr>
            <w:tcW w:type="dxa" w:w="2160"/>
          </w:tcPr>
          <w:p>
            <w:r>
              <w:t>Finance archive</w:t>
            </w:r>
          </w:p>
        </w:tc>
      </w:tr>
      <w:tr>
        <w:tc>
          <w:tcPr>
            <w:tcW w:type="dxa" w:w="2160"/>
          </w:tcPr>
          <w:p>
            <w:r>
              <w:t>Client contracts and amendments</w:t>
            </w:r>
          </w:p>
        </w:tc>
        <w:tc>
          <w:tcPr>
            <w:tcW w:type="dxa" w:w="2160"/>
          </w:tcPr>
          <w:p>
            <w:r>
              <w:t>10 years</w:t>
            </w:r>
          </w:p>
        </w:tc>
        <w:tc>
          <w:tcPr>
            <w:tcW w:type="dxa" w:w="2160"/>
          </w:tcPr>
          <w:p>
            <w:r>
              <w:t>Contract end</w:t>
            </w:r>
          </w:p>
        </w:tc>
        <w:tc>
          <w:tcPr>
            <w:tcW w:type="dxa" w:w="2160"/>
          </w:tcPr>
          <w:p>
            <w:r>
              <w:t>Legal repository</w:t>
            </w:r>
          </w:p>
        </w:tc>
      </w:tr>
      <w:tr>
        <w:tc>
          <w:tcPr>
            <w:tcW w:type="dxa" w:w="2160"/>
          </w:tcPr>
          <w:p>
            <w:r>
              <w:t>Client project deliverables</w:t>
            </w:r>
          </w:p>
        </w:tc>
        <w:tc>
          <w:tcPr>
            <w:tcW w:type="dxa" w:w="2160"/>
          </w:tcPr>
          <w:p>
            <w:r>
              <w:t>6 years</w:t>
            </w:r>
          </w:p>
        </w:tc>
        <w:tc>
          <w:tcPr>
            <w:tcW w:type="dxa" w:w="2160"/>
          </w:tcPr>
          <w:p>
            <w:r>
              <w:t>Project closure</w:t>
            </w:r>
          </w:p>
        </w:tc>
        <w:tc>
          <w:tcPr>
            <w:tcW w:type="dxa" w:w="2160"/>
          </w:tcPr>
          <w:p>
            <w:r>
              <w:t>Engagement archive</w:t>
            </w:r>
          </w:p>
        </w:tc>
      </w:tr>
      <w:tr>
        <w:tc>
          <w:tcPr>
            <w:tcW w:type="dxa" w:w="2160"/>
          </w:tcPr>
          <w:p>
            <w:r>
              <w:t>Marketing consent records</w:t>
            </w:r>
          </w:p>
        </w:tc>
        <w:tc>
          <w:tcPr>
            <w:tcW w:type="dxa" w:w="2160"/>
          </w:tcPr>
          <w:p>
            <w:r>
              <w:t>3 years</w:t>
            </w:r>
          </w:p>
        </w:tc>
        <w:tc>
          <w:tcPr>
            <w:tcW w:type="dxa" w:w="2160"/>
          </w:tcPr>
          <w:p>
            <w:r>
              <w:t>Consent withdrawal</w:t>
            </w:r>
          </w:p>
        </w:tc>
        <w:tc>
          <w:tcPr>
            <w:tcW w:type="dxa" w:w="2160"/>
          </w:tcPr>
          <w:p>
            <w:r>
              <w:t>CRM</w:t>
            </w:r>
          </w:p>
        </w:tc>
      </w:tr>
      <w:tr>
        <w:tc>
          <w:tcPr>
            <w:tcW w:type="dxa" w:w="2160"/>
          </w:tcPr>
          <w:p>
            <w:r>
              <w:t>Access logs to production systems</w:t>
            </w:r>
          </w:p>
        </w:tc>
        <w:tc>
          <w:tcPr>
            <w:tcW w:type="dxa" w:w="2160"/>
          </w:tcPr>
          <w:p>
            <w:r>
              <w:t>400 days</w:t>
            </w:r>
          </w:p>
        </w:tc>
        <w:tc>
          <w:tcPr>
            <w:tcW w:type="dxa" w:w="2160"/>
          </w:tcPr>
          <w:p>
            <w:r>
              <w:t>Log creation</w:t>
            </w:r>
          </w:p>
        </w:tc>
        <w:tc>
          <w:tcPr>
            <w:tcW w:type="dxa" w:w="2160"/>
          </w:tcPr>
          <w:p>
            <w:r>
              <w:t>SIEM</w:t>
            </w:r>
          </w:p>
        </w:tc>
      </w:tr>
      <w:tr>
        <w:tc>
          <w:tcPr>
            <w:tcW w:type="dxa" w:w="2160"/>
          </w:tcPr>
          <w:p>
            <w:r>
              <w:t>Email journals</w:t>
            </w:r>
          </w:p>
        </w:tc>
        <w:tc>
          <w:tcPr>
            <w:tcW w:type="dxa" w:w="2160"/>
          </w:tcPr>
          <w:p>
            <w:r>
              <w:t>2 years</w:t>
            </w:r>
          </w:p>
        </w:tc>
        <w:tc>
          <w:tcPr>
            <w:tcW w:type="dxa" w:w="2160"/>
          </w:tcPr>
          <w:p>
            <w:r>
              <w:t>Message date</w:t>
            </w:r>
          </w:p>
        </w:tc>
        <w:tc>
          <w:tcPr>
            <w:tcW w:type="dxa" w:w="2160"/>
          </w:tcPr>
          <w:p>
            <w:r>
              <w:t>Compliance archive</w:t>
            </w:r>
          </w:p>
        </w:tc>
      </w:tr>
      <w:tr>
        <w:tc>
          <w:tcPr>
            <w:tcW w:type="dxa" w:w="2160"/>
          </w:tcPr>
          <w:p>
            <w:r>
              <w:t>Video surveillance footage</w:t>
            </w:r>
          </w:p>
        </w:tc>
        <w:tc>
          <w:tcPr>
            <w:tcW w:type="dxa" w:w="2160"/>
          </w:tcPr>
          <w:p>
            <w:r>
              <w:t>30 days</w:t>
            </w:r>
          </w:p>
        </w:tc>
        <w:tc>
          <w:tcPr>
            <w:tcW w:type="dxa" w:w="2160"/>
          </w:tcPr>
          <w:p>
            <w:r>
              <w:t>Recording</w:t>
            </w:r>
          </w:p>
        </w:tc>
        <w:tc>
          <w:tcPr>
            <w:tcW w:type="dxa" w:w="2160"/>
          </w:tcPr>
          <w:p>
            <w:r>
              <w:t>Facilities NVR</w:t>
            </w:r>
          </w:p>
        </w:tc>
      </w:tr>
      <w:tr>
        <w:tc>
          <w:tcPr>
            <w:tcW w:type="dxa" w:w="2160"/>
          </w:tcPr>
          <w:p>
            <w:r>
              <w:t>Visitor registers</w:t>
            </w:r>
          </w:p>
        </w:tc>
        <w:tc>
          <w:tcPr>
            <w:tcW w:type="dxa" w:w="2160"/>
          </w:tcPr>
          <w:p>
            <w:r>
              <w:t>12 months</w:t>
            </w:r>
          </w:p>
        </w:tc>
        <w:tc>
          <w:tcPr>
            <w:tcW w:type="dxa" w:w="2160"/>
          </w:tcPr>
          <w:p>
            <w:r>
              <w:t>Visit date</w:t>
            </w:r>
          </w:p>
        </w:tc>
        <w:tc>
          <w:tcPr>
            <w:tcW w:type="dxa" w:w="2160"/>
          </w:tcPr>
          <w:p>
            <w:r>
              <w:t>Reception system</w:t>
            </w:r>
          </w:p>
        </w:tc>
      </w:tr>
      <w:tr>
        <w:tc>
          <w:tcPr>
            <w:tcW w:type="dxa" w:w="2160"/>
          </w:tcPr>
          <w:p>
            <w:r>
              <w:t>Health and safety incident reports</w:t>
            </w:r>
          </w:p>
        </w:tc>
        <w:tc>
          <w:tcPr>
            <w:tcW w:type="dxa" w:w="2160"/>
          </w:tcPr>
          <w:p>
            <w:r>
              <w:t>12 years</w:t>
            </w:r>
          </w:p>
        </w:tc>
        <w:tc>
          <w:tcPr>
            <w:tcW w:type="dxa" w:w="2160"/>
          </w:tcPr>
          <w:p>
            <w:r>
              <w:t>Incident date</w:t>
            </w:r>
          </w:p>
        </w:tc>
        <w:tc>
          <w:tcPr>
            <w:tcW w:type="dxa" w:w="2160"/>
          </w:tcPr>
          <w:p>
            <w:r>
              <w:t>HSE system</w:t>
            </w:r>
          </w:p>
        </w:tc>
      </w:tr>
      <w:tr>
        <w:tc>
          <w:tcPr>
            <w:tcW w:type="dxa" w:w="2160"/>
          </w:tcPr>
          <w:p>
            <w:r>
              <w:t>Training completion records</w:t>
            </w:r>
          </w:p>
        </w:tc>
        <w:tc>
          <w:tcPr>
            <w:tcW w:type="dxa" w:w="2160"/>
          </w:tcPr>
          <w:p>
            <w:r>
              <w:t>6 years</w:t>
            </w:r>
          </w:p>
        </w:tc>
        <w:tc>
          <w:tcPr>
            <w:tcW w:type="dxa" w:w="2160"/>
          </w:tcPr>
          <w:p>
            <w:r>
              <w:t>Course completion</w:t>
            </w:r>
          </w:p>
        </w:tc>
        <w:tc>
          <w:tcPr>
            <w:tcW w:type="dxa" w:w="2160"/>
          </w:tcPr>
          <w:p>
            <w:r>
              <w:t>Learning platform</w:t>
            </w:r>
          </w:p>
        </w:tc>
      </w:tr>
    </w:tbl>
    <w:p>
      <w:r>
        <w:t>Retention periods satisfy the longest applicable requirement across operating countries; a country annex may extend but never shorten a period in this table. Destruction of the controlling copy is logged with date, method, and approver.</w:t>
      </w:r>
    </w:p>
    <w:p>
      <w:pPr>
        <w:pStyle w:val="Heading2"/>
      </w:pPr>
      <w:r>
        <w:t>Approval Thresholds</w:t>
      </w:r>
    </w:p>
    <w:p>
      <w:r>
        <w:t>Financial commitments require approval per the thresholds below, computed on the total contract value including renewals. Splitting a commitment to stay under a threshold is a disciplinary offence. Emergency purchases follow the same thresholds with approval collected within two business days after the fact.</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t>Commitment (EUR)</w:t>
            </w:r>
          </w:p>
        </w:tc>
        <w:tc>
          <w:tcPr>
            <w:tcW w:type="dxa" w:w="2160"/>
          </w:tcPr>
          <w:p>
            <w:r>
              <w:t>Approver</w:t>
            </w:r>
          </w:p>
        </w:tc>
        <w:tc>
          <w:tcPr>
            <w:tcW w:type="dxa" w:w="2160"/>
          </w:tcPr>
          <w:p>
            <w:r>
              <w:t>Second approver</w:t>
            </w:r>
          </w:p>
        </w:tc>
        <w:tc>
          <w:tcPr>
            <w:tcW w:type="dxa" w:w="2160"/>
          </w:tcPr>
          <w:p>
            <w:r>
              <w:t>Procurement involvement</w:t>
            </w:r>
          </w:p>
        </w:tc>
      </w:tr>
      <w:tr>
        <w:tc>
          <w:tcPr>
            <w:tcW w:type="dxa" w:w="2160"/>
          </w:tcPr>
          <w:p>
            <w:r>
              <w:t>Up to 5,000</w:t>
            </w:r>
          </w:p>
        </w:tc>
        <w:tc>
          <w:tcPr>
            <w:tcW w:type="dxa" w:w="2160"/>
          </w:tcPr>
          <w:p>
            <w:r>
              <w:t>Cost-center owner</w:t>
            </w:r>
          </w:p>
        </w:tc>
        <w:tc>
          <w:tcPr>
            <w:tcW w:type="dxa" w:w="2160"/>
          </w:tcPr>
          <w:p>
            <w:r>
              <w:t>None</w:t>
            </w:r>
          </w:p>
        </w:tc>
        <w:tc>
          <w:tcPr>
            <w:tcW w:type="dxa" w:w="2160"/>
          </w:tcPr>
          <w:p>
            <w:r>
              <w:t>No</w:t>
            </w:r>
          </w:p>
        </w:tc>
      </w:tr>
      <w:tr>
        <w:tc>
          <w:tcPr>
            <w:tcW w:type="dxa" w:w="2160"/>
          </w:tcPr>
          <w:p>
            <w:r>
              <w:t>5,001 to 25,000</w:t>
            </w:r>
          </w:p>
        </w:tc>
        <w:tc>
          <w:tcPr>
            <w:tcW w:type="dxa" w:w="2160"/>
          </w:tcPr>
          <w:p>
            <w:r>
              <w:t>Department head</w:t>
            </w:r>
          </w:p>
        </w:tc>
        <w:tc>
          <w:tcPr>
            <w:tcW w:type="dxa" w:w="2160"/>
          </w:tcPr>
          <w:p>
            <w:r>
              <w:t>None</w:t>
            </w:r>
          </w:p>
        </w:tc>
        <w:tc>
          <w:tcPr>
            <w:tcW w:type="dxa" w:w="2160"/>
          </w:tcPr>
          <w:p>
            <w:r>
              <w:t>Advisory</w:t>
            </w:r>
          </w:p>
        </w:tc>
      </w:tr>
      <w:tr>
        <w:tc>
          <w:tcPr>
            <w:tcW w:type="dxa" w:w="2160"/>
          </w:tcPr>
          <w:p>
            <w:r>
              <w:t>25,001 to 100,000</w:t>
            </w:r>
          </w:p>
        </w:tc>
        <w:tc>
          <w:tcPr>
            <w:tcW w:type="dxa" w:w="2160"/>
          </w:tcPr>
          <w:p>
            <w:r>
              <w:t>Department head</w:t>
            </w:r>
          </w:p>
        </w:tc>
        <w:tc>
          <w:tcPr>
            <w:tcW w:type="dxa" w:w="2160"/>
          </w:tcPr>
          <w:p>
            <w:r>
              <w:t>Finance director</w:t>
            </w:r>
          </w:p>
        </w:tc>
        <w:tc>
          <w:tcPr>
            <w:tcW w:type="dxa" w:w="2160"/>
          </w:tcPr>
          <w:p>
            <w:r>
              <w:t>Mandatory</w:t>
            </w:r>
          </w:p>
        </w:tc>
      </w:tr>
      <w:tr>
        <w:tc>
          <w:tcPr>
            <w:tcW w:type="dxa" w:w="2160"/>
          </w:tcPr>
          <w:p>
            <w:r>
              <w:t>100,001 to 500,000</w:t>
            </w:r>
          </w:p>
        </w:tc>
        <w:tc>
          <w:tcPr>
            <w:tcW w:type="dxa" w:w="2160"/>
          </w:tcPr>
          <w:p>
            <w:r>
              <w:t>Finance director</w:t>
            </w:r>
          </w:p>
        </w:tc>
        <w:tc>
          <w:tcPr>
            <w:tcW w:type="dxa" w:w="2160"/>
          </w:tcPr>
          <w:p>
            <w:r>
              <w:t>Managing partner</w:t>
            </w:r>
          </w:p>
        </w:tc>
        <w:tc>
          <w:tcPr>
            <w:tcW w:type="dxa" w:w="2160"/>
          </w:tcPr>
          <w:p>
            <w:r>
              <w:t>Mandatory</w:t>
            </w:r>
          </w:p>
        </w:tc>
      </w:tr>
      <w:tr>
        <w:tc>
          <w:tcPr>
            <w:tcW w:type="dxa" w:w="2160"/>
          </w:tcPr>
          <w:p>
            <w:r>
              <w:t>Above 500,000</w:t>
            </w:r>
          </w:p>
        </w:tc>
        <w:tc>
          <w:tcPr>
            <w:tcW w:type="dxa" w:w="2160"/>
          </w:tcPr>
          <w:p>
            <w:r>
              <w:t>Managing partner</w:t>
            </w:r>
          </w:p>
        </w:tc>
        <w:tc>
          <w:tcPr>
            <w:tcW w:type="dxa" w:w="2160"/>
          </w:tcPr>
          <w:p>
            <w:r>
              <w:t>Partner committee</w:t>
            </w:r>
          </w:p>
        </w:tc>
        <w:tc>
          <w:tcPr>
            <w:tcW w:type="dxa" w:w="2160"/>
          </w:tcPr>
          <w:p>
            <w:r>
              <w:t>Mandatory with tender</w:t>
            </w:r>
          </w:p>
        </w:tc>
      </w:tr>
    </w:tbl>
    <w:p>
      <w:pPr>
        <w:pStyle w:val="Heading2"/>
      </w:pPr>
      <w:r>
        <w:t>Information Classification</w:t>
      </w:r>
    </w:p>
    <w:p>
      <w:r>
        <w:t>Every document and dataset carries one of four classifications, and the handling rules follow the classification, not the system it lives in. The author classifies at creation, and the classification is reviewed at each major revision. When in doubt between two levels, the higher applies until the data owner rules.</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Classification</w:t>
            </w:r>
          </w:p>
        </w:tc>
        <w:tc>
          <w:tcPr>
            <w:tcW w:type="dxa" w:w="1728"/>
          </w:tcPr>
          <w:p>
            <w:r>
              <w:t>Examples</w:t>
            </w:r>
          </w:p>
        </w:tc>
        <w:tc>
          <w:tcPr>
            <w:tcW w:type="dxa" w:w="1728"/>
          </w:tcPr>
          <w:p>
            <w:r>
              <w:t>Sharing outside Aurora</w:t>
            </w:r>
          </w:p>
        </w:tc>
        <w:tc>
          <w:tcPr>
            <w:tcW w:type="dxa" w:w="1728"/>
          </w:tcPr>
          <w:p>
            <w:r>
              <w:t>Encryption at rest</w:t>
            </w:r>
          </w:p>
        </w:tc>
        <w:tc>
          <w:tcPr>
            <w:tcW w:type="dxa" w:w="1728"/>
          </w:tcPr>
          <w:p>
            <w:r>
              <w:t>Watermarking</w:t>
            </w:r>
          </w:p>
        </w:tc>
      </w:tr>
      <w:tr>
        <w:tc>
          <w:tcPr>
            <w:tcW w:type="dxa" w:w="1728"/>
          </w:tcPr>
          <w:p>
            <w:r>
              <w:t>Public</w:t>
            </w:r>
          </w:p>
        </w:tc>
        <w:tc>
          <w:tcPr>
            <w:tcW w:type="dxa" w:w="1728"/>
          </w:tcPr>
          <w:p>
            <w:r>
              <w:t>Published brochures</w:t>
            </w:r>
          </w:p>
        </w:tc>
        <w:tc>
          <w:tcPr>
            <w:tcW w:type="dxa" w:w="1728"/>
          </w:tcPr>
          <w:p>
            <w:r>
              <w:t>Free</w:t>
            </w:r>
          </w:p>
        </w:tc>
        <w:tc>
          <w:tcPr>
            <w:tcW w:type="dxa" w:w="1728"/>
          </w:tcPr>
          <w:p>
            <w:r>
              <w:t>Optional</w:t>
            </w:r>
          </w:p>
        </w:tc>
        <w:tc>
          <w:tcPr>
            <w:tcW w:type="dxa" w:w="1728"/>
          </w:tcPr>
          <w:p>
            <w:r>
              <w:t>No</w:t>
            </w:r>
          </w:p>
        </w:tc>
      </w:tr>
      <w:tr>
        <w:tc>
          <w:tcPr>
            <w:tcW w:type="dxa" w:w="1728"/>
          </w:tcPr>
          <w:p>
            <w:r>
              <w:t>Internal</w:t>
            </w:r>
          </w:p>
        </w:tc>
        <w:tc>
          <w:tcPr>
            <w:tcW w:type="dxa" w:w="1728"/>
          </w:tcPr>
          <w:p>
            <w:r>
              <w:t>Process documentation</w:t>
            </w:r>
          </w:p>
        </w:tc>
        <w:tc>
          <w:tcPr>
            <w:tcW w:type="dxa" w:w="1728"/>
          </w:tcPr>
          <w:p>
            <w:r>
              <w:t>With NDA</w:t>
            </w:r>
          </w:p>
        </w:tc>
        <w:tc>
          <w:tcPr>
            <w:tcW w:type="dxa" w:w="1728"/>
          </w:tcPr>
          <w:p>
            <w:r>
              <w:t>Required</w:t>
            </w:r>
          </w:p>
        </w:tc>
        <w:tc>
          <w:tcPr>
            <w:tcW w:type="dxa" w:w="1728"/>
          </w:tcPr>
          <w:p>
            <w:r>
              <w:t>No</w:t>
            </w:r>
          </w:p>
        </w:tc>
      </w:tr>
      <w:tr>
        <w:tc>
          <w:tcPr>
            <w:tcW w:type="dxa" w:w="1728"/>
          </w:tcPr>
          <w:p>
            <w:r>
              <w:t>Confidential</w:t>
            </w:r>
          </w:p>
        </w:tc>
        <w:tc>
          <w:tcPr>
            <w:tcW w:type="dxa" w:w="1728"/>
          </w:tcPr>
          <w:p>
            <w:r>
              <w:t>Client engagement data</w:t>
            </w:r>
          </w:p>
        </w:tc>
        <w:tc>
          <w:tcPr>
            <w:tcW w:type="dxa" w:w="1728"/>
          </w:tcPr>
          <w:p>
            <w:r>
              <w:t>Named recipients only</w:t>
            </w:r>
          </w:p>
        </w:tc>
        <w:tc>
          <w:tcPr>
            <w:tcW w:type="dxa" w:w="1728"/>
          </w:tcPr>
          <w:p>
            <w:r>
              <w:t>Required</w:t>
            </w:r>
          </w:p>
        </w:tc>
        <w:tc>
          <w:tcPr>
            <w:tcW w:type="dxa" w:w="1728"/>
          </w:tcPr>
          <w:p>
            <w:r>
              <w:t>Yes</w:t>
            </w:r>
          </w:p>
        </w:tc>
      </w:tr>
      <w:tr>
        <w:tc>
          <w:tcPr>
            <w:tcW w:type="dxa" w:w="1728"/>
          </w:tcPr>
          <w:p>
            <w:r>
              <w:t>Strictly confidential</w:t>
            </w:r>
          </w:p>
        </w:tc>
        <w:tc>
          <w:tcPr>
            <w:tcW w:type="dxa" w:w="1728"/>
          </w:tcPr>
          <w:p>
            <w:r>
              <w:t>M&amp;A material, credentials</w:t>
            </w:r>
          </w:p>
        </w:tc>
        <w:tc>
          <w:tcPr>
            <w:tcW w:type="dxa" w:w="1728"/>
          </w:tcPr>
          <w:p>
            <w:r>
              <w:t>Prohibited without GC approval</w:t>
            </w:r>
          </w:p>
        </w:tc>
        <w:tc>
          <w:tcPr>
            <w:tcW w:type="dxa" w:w="1728"/>
          </w:tcPr>
          <w:p>
            <w:r>
              <w:t>Required with CMK</w:t>
            </w:r>
          </w:p>
        </w:tc>
        <w:tc>
          <w:tcPr>
            <w:tcW w:type="dxa" w:w="1728"/>
          </w:tcPr>
          <w:p>
            <w:r>
              <w:t>Yes</w:t>
            </w:r>
          </w:p>
        </w:tc>
      </w:tr>
    </w:tbl>
    <w:p>
      <w:r>
        <w:t>Client data inherits at least the Confidential level regardless of the client's own marking. Reclassification downward requires the data owner and the security office to agree in writing.</w:t>
      </w:r>
    </w:p>
    <w:p>
      <w:pPr>
        <w:pStyle w:val="Heading2"/>
      </w:pPr>
      <w:r>
        <w:t>Remote Work Allowances</w:t>
      </w:r>
    </w:p>
    <w:p>
      <w:r>
        <w:t>Employees on a hybrid or remote contract receive the allowances below, paid monthly with salary and reviewed annually. The home office setup budget is one-time per employment relationship and covers furniture and peripherals against receipts.</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Contract type</w:t>
            </w:r>
          </w:p>
        </w:tc>
        <w:tc>
          <w:tcPr>
            <w:tcW w:type="dxa" w:w="1728"/>
          </w:tcPr>
          <w:p>
            <w:r>
              <w:t>Internet allowance (EUR/month)</w:t>
            </w:r>
          </w:p>
        </w:tc>
        <w:tc>
          <w:tcPr>
            <w:tcW w:type="dxa" w:w="1728"/>
          </w:tcPr>
          <w:p>
            <w:r>
              <w:t>Energy allowance (EUR/month)</w:t>
            </w:r>
          </w:p>
        </w:tc>
        <w:tc>
          <w:tcPr>
            <w:tcW w:type="dxa" w:w="1728"/>
          </w:tcPr>
          <w:p>
            <w:r>
              <w:t>One-time setup budget (EUR)</w:t>
            </w:r>
          </w:p>
        </w:tc>
        <w:tc>
          <w:tcPr>
            <w:tcW w:type="dxa" w:w="1728"/>
          </w:tcPr>
          <w:p>
            <w:r>
              <w:t>Office days required per week</w:t>
            </w:r>
          </w:p>
        </w:tc>
      </w:tr>
      <w:tr>
        <w:tc>
          <w:tcPr>
            <w:tcW w:type="dxa" w:w="1728"/>
          </w:tcPr>
          <w:p>
            <w:r>
              <w:t>Office-based</w:t>
            </w:r>
          </w:p>
        </w:tc>
        <w:tc>
          <w:tcPr>
            <w:tcW w:type="dxa" w:w="1728"/>
          </w:tcPr>
          <w:p>
            <w:r>
              <w:t>0</w:t>
            </w:r>
          </w:p>
        </w:tc>
        <w:tc>
          <w:tcPr>
            <w:tcW w:type="dxa" w:w="1728"/>
          </w:tcPr>
          <w:p>
            <w:r>
              <w:t>0</w:t>
            </w:r>
          </w:p>
        </w:tc>
        <w:tc>
          <w:tcPr>
            <w:tcW w:type="dxa" w:w="1728"/>
          </w:tcPr>
          <w:p>
            <w:r>
              <w:t>0</w:t>
            </w:r>
          </w:p>
        </w:tc>
        <w:tc>
          <w:tcPr>
            <w:tcW w:type="dxa" w:w="1728"/>
          </w:tcPr>
          <w:p>
            <w:r>
              <w:t>4</w:t>
            </w:r>
          </w:p>
        </w:tc>
      </w:tr>
      <w:tr>
        <w:tc>
          <w:tcPr>
            <w:tcW w:type="dxa" w:w="1728"/>
          </w:tcPr>
          <w:p>
            <w:r>
              <w:t>Hybrid</w:t>
            </w:r>
          </w:p>
        </w:tc>
        <w:tc>
          <w:tcPr>
            <w:tcW w:type="dxa" w:w="1728"/>
          </w:tcPr>
          <w:p>
            <w:r>
              <w:t>20</w:t>
            </w:r>
          </w:p>
        </w:tc>
        <w:tc>
          <w:tcPr>
            <w:tcW w:type="dxa" w:w="1728"/>
          </w:tcPr>
          <w:p>
            <w:r>
              <w:t>15</w:t>
            </w:r>
          </w:p>
        </w:tc>
        <w:tc>
          <w:tcPr>
            <w:tcW w:type="dxa" w:w="1728"/>
          </w:tcPr>
          <w:p>
            <w:r>
              <w:t>400</w:t>
            </w:r>
          </w:p>
        </w:tc>
        <w:tc>
          <w:tcPr>
            <w:tcW w:type="dxa" w:w="1728"/>
          </w:tcPr>
          <w:p>
            <w:r>
              <w:t>2</w:t>
            </w:r>
          </w:p>
        </w:tc>
      </w:tr>
      <w:tr>
        <w:tc>
          <w:tcPr>
            <w:tcW w:type="dxa" w:w="1728"/>
          </w:tcPr>
          <w:p>
            <w:r>
              <w:t>Remote-first</w:t>
            </w:r>
          </w:p>
        </w:tc>
        <w:tc>
          <w:tcPr>
            <w:tcW w:type="dxa" w:w="1728"/>
          </w:tcPr>
          <w:p>
            <w:r>
              <w:t>35</w:t>
            </w:r>
          </w:p>
        </w:tc>
        <w:tc>
          <w:tcPr>
            <w:tcW w:type="dxa" w:w="1728"/>
          </w:tcPr>
          <w:p>
            <w:r>
              <w:t>25</w:t>
            </w:r>
          </w:p>
        </w:tc>
        <w:tc>
          <w:tcPr>
            <w:tcW w:type="dxa" w:w="1728"/>
          </w:tcPr>
          <w:p>
            <w:r>
              <w:t>650</w:t>
            </w:r>
          </w:p>
        </w:tc>
        <w:tc>
          <w:tcPr>
            <w:tcW w:type="dxa" w:w="1728"/>
          </w:tcPr>
          <w:p>
            <w:r>
              <w:t>0</w:t>
            </w:r>
          </w:p>
        </w:tc>
      </w:tr>
      <w:tr>
        <w:tc>
          <w:tcPr>
            <w:tcW w:type="dxa" w:w="1728"/>
          </w:tcPr>
          <w:p>
            <w:r>
              <w:t>Client-site</w:t>
            </w:r>
          </w:p>
        </w:tc>
        <w:tc>
          <w:tcPr>
            <w:tcW w:type="dxa" w:w="1728"/>
          </w:tcPr>
          <w:p>
            <w:r>
              <w:t>20</w:t>
            </w:r>
          </w:p>
        </w:tc>
        <w:tc>
          <w:tcPr>
            <w:tcW w:type="dxa" w:w="1728"/>
          </w:tcPr>
          <w:p>
            <w:r>
              <w:t>0</w:t>
            </w:r>
          </w:p>
        </w:tc>
        <w:tc>
          <w:tcPr>
            <w:tcW w:type="dxa" w:w="1728"/>
          </w:tcPr>
          <w:p>
            <w:r>
              <w:t>200</w:t>
            </w:r>
          </w:p>
        </w:tc>
        <w:tc>
          <w:tcPr>
            <w:tcW w:type="dxa" w:w="1728"/>
          </w:tcPr>
          <w:p>
            <w:r>
              <w:t>0</w:t>
            </w:r>
          </w:p>
        </w:tc>
      </w:tr>
    </w:tbl>
    <w:p>
      <w:r>
        <w:t>Allowances are suspended during unpaid leave months and prorated for part-time contracts by the contractual percentage. Tax treatment follows the country annex, and where an allowance is taxable it is grossed up so the net matches this table.</w:t>
      </w:r>
    </w:p>
    <w:p>
      <w:pPr>
        <w:pStyle w:val="Heading2"/>
      </w:pPr>
      <w:r>
        <w:t>Training Catalog and Certification Support</w:t>
      </w:r>
    </w:p>
    <w:p>
      <w:r>
        <w:t>Training follows an annual plan agreed at the performance review. Courses in the catalog below are pre-approved within the stated budget; certifications outside the catalog need department-head approval. Exam fees are reimbursed on a pass, and one retake per certification is covered at fifty percent.</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Course or certification</w:t>
            </w:r>
          </w:p>
        </w:tc>
        <w:tc>
          <w:tcPr>
            <w:tcW w:type="dxa" w:w="1728"/>
          </w:tcPr>
          <w:p>
            <w:r>
              <w:t>Category</w:t>
            </w:r>
          </w:p>
        </w:tc>
        <w:tc>
          <w:tcPr>
            <w:tcW w:type="dxa" w:w="1728"/>
          </w:tcPr>
          <w:p>
            <w:r>
              <w:t>Budget cap (EUR)</w:t>
            </w:r>
          </w:p>
        </w:tc>
        <w:tc>
          <w:tcPr>
            <w:tcW w:type="dxa" w:w="1728"/>
          </w:tcPr>
          <w:p>
            <w:r>
              <w:t>Study days granted</w:t>
            </w:r>
          </w:p>
        </w:tc>
        <w:tc>
          <w:tcPr>
            <w:tcW w:type="dxa" w:w="1728"/>
          </w:tcPr>
          <w:p>
            <w:r>
              <w:t>Validity for refresh</w:t>
            </w:r>
          </w:p>
        </w:tc>
      </w:tr>
      <w:tr>
        <w:tc>
          <w:tcPr>
            <w:tcW w:type="dxa" w:w="1728"/>
          </w:tcPr>
          <w:p>
            <w:r>
              <w:t>Cloud architecture professional</w:t>
            </w:r>
          </w:p>
        </w:tc>
        <w:tc>
          <w:tcPr>
            <w:tcW w:type="dxa" w:w="1728"/>
          </w:tcPr>
          <w:p>
            <w:r>
              <w:t>Technical</w:t>
            </w:r>
          </w:p>
        </w:tc>
        <w:tc>
          <w:tcPr>
            <w:tcW w:type="dxa" w:w="1728"/>
          </w:tcPr>
          <w:p>
            <w:r>
              <w:t>1800</w:t>
            </w:r>
          </w:p>
        </w:tc>
        <w:tc>
          <w:tcPr>
            <w:tcW w:type="dxa" w:w="1728"/>
          </w:tcPr>
          <w:p>
            <w:r>
              <w:t>3</w:t>
            </w:r>
          </w:p>
        </w:tc>
        <w:tc>
          <w:tcPr>
            <w:tcW w:type="dxa" w:w="1728"/>
          </w:tcPr>
          <w:p>
            <w:r>
              <w:t>3 years</w:t>
            </w:r>
          </w:p>
        </w:tc>
      </w:tr>
      <w:tr>
        <w:tc>
          <w:tcPr>
            <w:tcW w:type="dxa" w:w="1728"/>
          </w:tcPr>
          <w:p>
            <w:r>
              <w:t>Data engineering associate</w:t>
            </w:r>
          </w:p>
        </w:tc>
        <w:tc>
          <w:tcPr>
            <w:tcW w:type="dxa" w:w="1728"/>
          </w:tcPr>
          <w:p>
            <w:r>
              <w:t>Technical</w:t>
            </w:r>
          </w:p>
        </w:tc>
        <w:tc>
          <w:tcPr>
            <w:tcW w:type="dxa" w:w="1728"/>
          </w:tcPr>
          <w:p>
            <w:r>
              <w:t>1200</w:t>
            </w:r>
          </w:p>
        </w:tc>
        <w:tc>
          <w:tcPr>
            <w:tcW w:type="dxa" w:w="1728"/>
          </w:tcPr>
          <w:p>
            <w:r>
              <w:t>2</w:t>
            </w:r>
          </w:p>
        </w:tc>
        <w:tc>
          <w:tcPr>
            <w:tcW w:type="dxa" w:w="1728"/>
          </w:tcPr>
          <w:p>
            <w:r>
              <w:t>2 years</w:t>
            </w:r>
          </w:p>
        </w:tc>
      </w:tr>
      <w:tr>
        <w:tc>
          <w:tcPr>
            <w:tcW w:type="dxa" w:w="1728"/>
          </w:tcPr>
          <w:p>
            <w:r>
              <w:t>Security operations analyst</w:t>
            </w:r>
          </w:p>
        </w:tc>
        <w:tc>
          <w:tcPr>
            <w:tcW w:type="dxa" w:w="1728"/>
          </w:tcPr>
          <w:p>
            <w:r>
              <w:t>Technical</w:t>
            </w:r>
          </w:p>
        </w:tc>
        <w:tc>
          <w:tcPr>
            <w:tcW w:type="dxa" w:w="1728"/>
          </w:tcPr>
          <w:p>
            <w:r>
              <w:t>1500</w:t>
            </w:r>
          </w:p>
        </w:tc>
        <w:tc>
          <w:tcPr>
            <w:tcW w:type="dxa" w:w="1728"/>
          </w:tcPr>
          <w:p>
            <w:r>
              <w:t>3</w:t>
            </w:r>
          </w:p>
        </w:tc>
        <w:tc>
          <w:tcPr>
            <w:tcW w:type="dxa" w:w="1728"/>
          </w:tcPr>
          <w:p>
            <w:r>
              <w:t>3 years</w:t>
            </w:r>
          </w:p>
        </w:tc>
      </w:tr>
      <w:tr>
        <w:tc>
          <w:tcPr>
            <w:tcW w:type="dxa" w:w="1728"/>
          </w:tcPr>
          <w:p>
            <w:r>
              <w:t>Agile delivery practitioner</w:t>
            </w:r>
          </w:p>
        </w:tc>
        <w:tc>
          <w:tcPr>
            <w:tcW w:type="dxa" w:w="1728"/>
          </w:tcPr>
          <w:p>
            <w:r>
              <w:t>Methodology</w:t>
            </w:r>
          </w:p>
        </w:tc>
        <w:tc>
          <w:tcPr>
            <w:tcW w:type="dxa" w:w="1728"/>
          </w:tcPr>
          <w:p>
            <w:r>
              <w:t>900</w:t>
            </w:r>
          </w:p>
        </w:tc>
        <w:tc>
          <w:tcPr>
            <w:tcW w:type="dxa" w:w="1728"/>
          </w:tcPr>
          <w:p>
            <w:r>
              <w:t>1</w:t>
            </w:r>
          </w:p>
        </w:tc>
        <w:tc>
          <w:tcPr>
            <w:tcW w:type="dxa" w:w="1728"/>
          </w:tcPr>
          <w:p>
            <w:r>
              <w:t>none</w:t>
            </w:r>
          </w:p>
        </w:tc>
      </w:tr>
      <w:tr>
        <w:tc>
          <w:tcPr>
            <w:tcW w:type="dxa" w:w="1728"/>
          </w:tcPr>
          <w:p>
            <w:r>
              <w:t>Project management professional</w:t>
            </w:r>
          </w:p>
        </w:tc>
        <w:tc>
          <w:tcPr>
            <w:tcW w:type="dxa" w:w="1728"/>
          </w:tcPr>
          <w:p>
            <w:r>
              <w:t>Methodology</w:t>
            </w:r>
          </w:p>
        </w:tc>
        <w:tc>
          <w:tcPr>
            <w:tcW w:type="dxa" w:w="1728"/>
          </w:tcPr>
          <w:p>
            <w:r>
              <w:t>1600</w:t>
            </w:r>
          </w:p>
        </w:tc>
        <w:tc>
          <w:tcPr>
            <w:tcW w:type="dxa" w:w="1728"/>
          </w:tcPr>
          <w:p>
            <w:r>
              <w:t>3</w:t>
            </w:r>
          </w:p>
        </w:tc>
        <w:tc>
          <w:tcPr>
            <w:tcW w:type="dxa" w:w="1728"/>
          </w:tcPr>
          <w:p>
            <w:r>
              <w:t>3 years</w:t>
            </w:r>
          </w:p>
        </w:tc>
      </w:tr>
      <w:tr>
        <w:tc>
          <w:tcPr>
            <w:tcW w:type="dxa" w:w="1728"/>
          </w:tcPr>
          <w:p>
            <w:r>
              <w:t>Negotiation fundamentals</w:t>
            </w:r>
          </w:p>
        </w:tc>
        <w:tc>
          <w:tcPr>
            <w:tcW w:type="dxa" w:w="1728"/>
          </w:tcPr>
          <w:p>
            <w:r>
              <w:t>Consulting skills</w:t>
            </w:r>
          </w:p>
        </w:tc>
        <w:tc>
          <w:tcPr>
            <w:tcW w:type="dxa" w:w="1728"/>
          </w:tcPr>
          <w:p>
            <w:r>
              <w:t>700</w:t>
            </w:r>
          </w:p>
        </w:tc>
        <w:tc>
          <w:tcPr>
            <w:tcW w:type="dxa" w:w="1728"/>
          </w:tcPr>
          <w:p>
            <w:r>
              <w:t>1</w:t>
            </w:r>
          </w:p>
        </w:tc>
        <w:tc>
          <w:tcPr>
            <w:tcW w:type="dxa" w:w="1728"/>
          </w:tcPr>
          <w:p>
            <w:r>
              <w:t>none</w:t>
            </w:r>
          </w:p>
        </w:tc>
      </w:tr>
      <w:tr>
        <w:tc>
          <w:tcPr>
            <w:tcW w:type="dxa" w:w="1728"/>
          </w:tcPr>
          <w:p>
            <w:r>
              <w:t>Executive presence workshop</w:t>
            </w:r>
          </w:p>
        </w:tc>
        <w:tc>
          <w:tcPr>
            <w:tcW w:type="dxa" w:w="1728"/>
          </w:tcPr>
          <w:p>
            <w:r>
              <w:t>Consulting skills</w:t>
            </w:r>
          </w:p>
        </w:tc>
        <w:tc>
          <w:tcPr>
            <w:tcW w:type="dxa" w:w="1728"/>
          </w:tcPr>
          <w:p>
            <w:r>
              <w:t>1100</w:t>
            </w:r>
          </w:p>
        </w:tc>
        <w:tc>
          <w:tcPr>
            <w:tcW w:type="dxa" w:w="1728"/>
          </w:tcPr>
          <w:p>
            <w:r>
              <w:t>1</w:t>
            </w:r>
          </w:p>
        </w:tc>
        <w:tc>
          <w:tcPr>
            <w:tcW w:type="dxa" w:w="1728"/>
          </w:tcPr>
          <w:p>
            <w:r>
              <w:t>none</w:t>
            </w:r>
          </w:p>
        </w:tc>
      </w:tr>
      <w:tr>
        <w:tc>
          <w:tcPr>
            <w:tcW w:type="dxa" w:w="1728"/>
          </w:tcPr>
          <w:p>
            <w:r>
              <w:t>Language course, per level</w:t>
            </w:r>
          </w:p>
        </w:tc>
        <w:tc>
          <w:tcPr>
            <w:tcW w:type="dxa" w:w="1728"/>
          </w:tcPr>
          <w:p>
            <w:r>
              <w:t>Language</w:t>
            </w:r>
          </w:p>
        </w:tc>
        <w:tc>
          <w:tcPr>
            <w:tcW w:type="dxa" w:w="1728"/>
          </w:tcPr>
          <w:p>
            <w:r>
              <w:t>600</w:t>
            </w:r>
          </w:p>
        </w:tc>
        <w:tc>
          <w:tcPr>
            <w:tcW w:type="dxa" w:w="1728"/>
          </w:tcPr>
          <w:p>
            <w:r>
              <w:t>0</w:t>
            </w:r>
          </w:p>
        </w:tc>
        <w:tc>
          <w:tcPr>
            <w:tcW w:type="dxa" w:w="1728"/>
          </w:tcPr>
          <w:p>
            <w:r>
              <w:t>none</w:t>
            </w:r>
          </w:p>
        </w:tc>
      </w:tr>
      <w:tr>
        <w:tc>
          <w:tcPr>
            <w:tcW w:type="dxa" w:w="1728"/>
          </w:tcPr>
          <w:p>
            <w:r>
              <w:t>First aid and safety officer</w:t>
            </w:r>
          </w:p>
        </w:tc>
        <w:tc>
          <w:tcPr>
            <w:tcW w:type="dxa" w:w="1728"/>
          </w:tcPr>
          <w:p>
            <w:r>
              <w:t>Compliance</w:t>
            </w:r>
          </w:p>
        </w:tc>
        <w:tc>
          <w:tcPr>
            <w:tcW w:type="dxa" w:w="1728"/>
          </w:tcPr>
          <w:p>
            <w:r>
              <w:t>350</w:t>
            </w:r>
          </w:p>
        </w:tc>
        <w:tc>
          <w:tcPr>
            <w:tcW w:type="dxa" w:w="1728"/>
          </w:tcPr>
          <w:p>
            <w:r>
              <w:t>1</w:t>
            </w:r>
          </w:p>
        </w:tc>
        <w:tc>
          <w:tcPr>
            <w:tcW w:type="dxa" w:w="1728"/>
          </w:tcPr>
          <w:p>
            <w:r>
              <w:t>2 years</w:t>
            </w:r>
          </w:p>
        </w:tc>
      </w:tr>
      <w:tr>
        <w:tc>
          <w:tcPr>
            <w:tcW w:type="dxa" w:w="1728"/>
          </w:tcPr>
          <w:p>
            <w:r>
              <w:t>Data protection specialist</w:t>
            </w:r>
          </w:p>
        </w:tc>
        <w:tc>
          <w:tcPr>
            <w:tcW w:type="dxa" w:w="1728"/>
          </w:tcPr>
          <w:p>
            <w:r>
              <w:t>Compliance</w:t>
            </w:r>
          </w:p>
        </w:tc>
        <w:tc>
          <w:tcPr>
            <w:tcW w:type="dxa" w:w="1728"/>
          </w:tcPr>
          <w:p>
            <w:r>
              <w:t>950</w:t>
            </w:r>
          </w:p>
        </w:tc>
        <w:tc>
          <w:tcPr>
            <w:tcW w:type="dxa" w:w="1728"/>
          </w:tcPr>
          <w:p>
            <w:r>
              <w:t>2</w:t>
            </w:r>
          </w:p>
        </w:tc>
        <w:tc>
          <w:tcPr>
            <w:tcW w:type="dxa" w:w="1728"/>
          </w:tcPr>
          <w:p>
            <w:r>
              <w:t>3 years</w:t>
            </w:r>
          </w:p>
        </w:tc>
      </w:tr>
    </w:tbl>
    <w:p>
      <w:r>
        <w:t>Study days are working days released from staffing, capped at five per calendar year across all courses. Unused training budget does not carry over, and the learning platform records completions in the retention schedule of this manual.</w:t>
      </w:r>
    </w:p>
    <w:p>
      <w:pPr>
        <w:pStyle w:val="Heading2"/>
      </w:pPr>
      <w:r>
        <w:t>Incident Severity and Response</w:t>
      </w:r>
    </w:p>
    <w:p>
      <w:r>
        <w:t>Security and IT incidents are classified at intake by the on-duty responder, and the response clock starts at classification. Severity drives both the response time and who must be informed; the communication rules are mandatory even when the technical response is trivial.</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Severity</w:t>
            </w:r>
          </w:p>
        </w:tc>
        <w:tc>
          <w:tcPr>
            <w:tcW w:type="dxa" w:w="1728"/>
          </w:tcPr>
          <w:p>
            <w:r>
              <w:t>Definition</w:t>
            </w:r>
          </w:p>
        </w:tc>
        <w:tc>
          <w:tcPr>
            <w:tcW w:type="dxa" w:w="1728"/>
          </w:tcPr>
          <w:p>
            <w:r>
              <w:t>Response start</w:t>
            </w:r>
          </w:p>
        </w:tc>
        <w:tc>
          <w:tcPr>
            <w:tcW w:type="dxa" w:w="1728"/>
          </w:tcPr>
          <w:p>
            <w:r>
              <w:t>Status update cadence</w:t>
            </w:r>
          </w:p>
        </w:tc>
        <w:tc>
          <w:tcPr>
            <w:tcW w:type="dxa" w:w="1728"/>
          </w:tcPr>
          <w:p>
            <w:r>
              <w:t>Mandatory notification</w:t>
            </w:r>
          </w:p>
        </w:tc>
      </w:tr>
      <w:tr>
        <w:tc>
          <w:tcPr>
            <w:tcW w:type="dxa" w:w="1728"/>
          </w:tcPr>
          <w:p>
            <w:r>
              <w:t>S1</w:t>
            </w:r>
          </w:p>
        </w:tc>
        <w:tc>
          <w:tcPr>
            <w:tcW w:type="dxa" w:w="1728"/>
          </w:tcPr>
          <w:p>
            <w:r>
              <w:t>Confirmed data breach or client production down</w:t>
            </w:r>
          </w:p>
        </w:tc>
        <w:tc>
          <w:tcPr>
            <w:tcW w:type="dxa" w:w="1728"/>
          </w:tcPr>
          <w:p>
            <w:r>
              <w:t>15 minutes</w:t>
            </w:r>
          </w:p>
        </w:tc>
        <w:tc>
          <w:tcPr>
            <w:tcW w:type="dxa" w:w="1728"/>
          </w:tcPr>
          <w:p>
            <w:r>
              <w:t>Every hour</w:t>
            </w:r>
          </w:p>
        </w:tc>
        <w:tc>
          <w:tcPr>
            <w:tcW w:type="dxa" w:w="1728"/>
          </w:tcPr>
          <w:p>
            <w:r>
              <w:t>CISO, GC, affected client partner</w:t>
            </w:r>
          </w:p>
        </w:tc>
      </w:tr>
      <w:tr>
        <w:tc>
          <w:tcPr>
            <w:tcW w:type="dxa" w:w="1728"/>
          </w:tcPr>
          <w:p>
            <w:r>
              <w:t>S2</w:t>
            </w:r>
          </w:p>
        </w:tc>
        <w:tc>
          <w:tcPr>
            <w:tcW w:type="dxa" w:w="1728"/>
          </w:tcPr>
          <w:p>
            <w:r>
              <w:t>Internal production down, no data exposure</w:t>
            </w:r>
          </w:p>
        </w:tc>
        <w:tc>
          <w:tcPr>
            <w:tcW w:type="dxa" w:w="1728"/>
          </w:tcPr>
          <w:p>
            <w:r>
              <w:t>1 hour</w:t>
            </w:r>
          </w:p>
        </w:tc>
        <w:tc>
          <w:tcPr>
            <w:tcW w:type="dxa" w:w="1728"/>
          </w:tcPr>
          <w:p>
            <w:r>
              <w:t>Every 4 hours</w:t>
            </w:r>
          </w:p>
        </w:tc>
        <w:tc>
          <w:tcPr>
            <w:tcW w:type="dxa" w:w="1728"/>
          </w:tcPr>
          <w:p>
            <w:r>
              <w:t>CISO</w:t>
            </w:r>
          </w:p>
        </w:tc>
      </w:tr>
      <w:tr>
        <w:tc>
          <w:tcPr>
            <w:tcW w:type="dxa" w:w="1728"/>
          </w:tcPr>
          <w:p>
            <w:r>
              <w:t>S3</w:t>
            </w:r>
          </w:p>
        </w:tc>
        <w:tc>
          <w:tcPr>
            <w:tcW w:type="dxa" w:w="1728"/>
          </w:tcPr>
          <w:p>
            <w:r>
              <w:t>Degraded service with workaround</w:t>
            </w:r>
          </w:p>
        </w:tc>
        <w:tc>
          <w:tcPr>
            <w:tcW w:type="dxa" w:w="1728"/>
          </w:tcPr>
          <w:p>
            <w:r>
              <w:t>4 business hours</w:t>
            </w:r>
          </w:p>
        </w:tc>
        <w:tc>
          <w:tcPr>
            <w:tcW w:type="dxa" w:w="1728"/>
          </w:tcPr>
          <w:p>
            <w:r>
              <w:t>Daily</w:t>
            </w:r>
          </w:p>
        </w:tc>
        <w:tc>
          <w:tcPr>
            <w:tcW w:type="dxa" w:w="1728"/>
          </w:tcPr>
          <w:p>
            <w:r>
              <w:t>Service owner</w:t>
            </w:r>
          </w:p>
        </w:tc>
      </w:tr>
      <w:tr>
        <w:tc>
          <w:tcPr>
            <w:tcW w:type="dxa" w:w="1728"/>
          </w:tcPr>
          <w:p>
            <w:r>
              <w:t>S4</w:t>
            </w:r>
          </w:p>
        </w:tc>
        <w:tc>
          <w:tcPr>
            <w:tcW w:type="dxa" w:w="1728"/>
          </w:tcPr>
          <w:p>
            <w:r>
              <w:t>Cosmetic or single-user issue</w:t>
            </w:r>
          </w:p>
        </w:tc>
        <w:tc>
          <w:tcPr>
            <w:tcW w:type="dxa" w:w="1728"/>
          </w:tcPr>
          <w:p>
            <w:r>
              <w:t>2 business days</w:t>
            </w:r>
          </w:p>
        </w:tc>
        <w:tc>
          <w:tcPr>
            <w:tcW w:type="dxa" w:w="1728"/>
          </w:tcPr>
          <w:p>
            <w:r>
              <w:t>On resolution</w:t>
            </w:r>
          </w:p>
        </w:tc>
        <w:tc>
          <w:tcPr>
            <w:tcW w:type="dxa" w:w="1728"/>
          </w:tcPr>
          <w:p>
            <w:r>
              <w:t>None</w:t>
            </w:r>
          </w:p>
        </w:tc>
      </w:tr>
    </w:tbl>
    <w:p>
      <w:r>
        <w:t>An S1 involving personal data additionally triggers the privacy procedure, whose regulatory notification assessment must conclude within forty-eight hours of classification. Post-incident reviews are mandatory for S1 and S2 and produce actions tracked to closure in the risk register.</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