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before="1700"/>
        <w:jc w:val="center"/>
      </w:pPr>
      <w:r>
        <w:rPr>
          <w:rFonts w:ascii="Noto Sans CJK SC" w:hAnsi="Noto Sans CJK SC" w:eastAsia="Noto Sans CJK SC"/>
          <w:b/>
          <w:color w:val="19324D"/>
          <w:sz w:val="54"/>
        </w:rPr>
        <w:t>Codex 多模型接入与体验增强系统</w:t>
      </w:r>
    </w:p>
    <w:p>
      <w:pPr>
        <w:widowControl/>
        <w:jc w:val="center"/>
      </w:pPr>
      <w:r>
        <w:rPr>
          <w:rFonts w:ascii="Noto Sans CJK SC" w:hAnsi="Noto Sans CJK SC" w:eastAsia="Noto Sans CJK SC"/>
          <w:b/>
          <w:color w:val="2F6B9A"/>
          <w:sz w:val="40"/>
        </w:rPr>
        <w:t>详细设计方案</w:t>
      </w:r>
    </w:p>
    <w:p>
      <w:pPr>
        <w:widowControl/>
        <w:spacing w:before="240"/>
        <w:jc w:val="center"/>
      </w:pPr>
      <w:r>
        <w:rPr>
          <w:rFonts w:ascii="Noto Sans CJK SC" w:hAnsi="Noto Sans CJK SC" w:eastAsia="Noto Sans CJK SC"/>
          <w:color w:val="5C6670"/>
          <w:sz w:val="23"/>
        </w:rPr>
        <w:t>统一 Responses 网关 · 多 Provider 接入 · 会话连续性 · 余额与 UI 增强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cantSplit/>
          <w:tblHeader/>
        </w:trPr>
        <w:tc>
          <w:tcPr>
            <w:tcW w:type="dxa" w:w="2268"/>
            <w:shd w:fill="EAF3FA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</w:tcPr>
          <w:p>
            <w:r>
              <w:rPr>
                <w:rFonts w:ascii="Noto Sans CJK SC" w:hAnsi="Noto Sans CJK SC" w:eastAsia="Noto Sans CJK SC"/>
                <w:b/>
                <w:color w:val="19324D"/>
                <w:sz w:val="19"/>
              </w:rPr>
              <w:t>文档版本</w:t>
            </w:r>
          </w:p>
        </w:tc>
        <w:tc>
          <w:tcPr>
            <w:tcW w:type="dxa" w:w="5386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</w:tcPr>
          <w:p>
            <w:r>
              <w:rPr>
                <w:rFonts w:ascii="Noto Sans CJK SC" w:hAnsi="Noto Sans CJK SC" w:eastAsia="Noto Sans CJK SC"/>
                <w:sz w:val="19"/>
              </w:rPr>
              <w:t>v1.0</w:t>
            </w:r>
          </w:p>
        </w:tc>
      </w:tr>
      <w:tr>
        <w:trPr>
          <w:cantSplit/>
        </w:trPr>
        <w:tc>
          <w:tcPr>
            <w:tcW w:type="dxa" w:w="2268"/>
            <w:shd w:fill="EAF3FA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</w:tcPr>
          <w:p>
            <w:r>
              <w:rPr>
                <w:rFonts w:ascii="Noto Sans CJK SC" w:hAnsi="Noto Sans CJK SC" w:eastAsia="Noto Sans CJK SC"/>
                <w:b/>
                <w:color w:val="19324D"/>
                <w:sz w:val="19"/>
              </w:rPr>
              <w:t>设计基线</w:t>
            </w:r>
          </w:p>
        </w:tc>
        <w:tc>
          <w:tcPr>
            <w:tcW w:type="dxa" w:w="5386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</w:tcPr>
          <w:p>
            <w:r>
              <w:rPr>
                <w:rFonts w:ascii="Noto Sans CJK SC" w:hAnsi="Noto Sans CJK SC" w:eastAsia="Noto Sans CJK SC"/>
                <w:sz w:val="19"/>
              </w:rPr>
              <w:t>2026 年 8 月 5 日</w:t>
            </w:r>
          </w:p>
        </w:tc>
      </w:tr>
      <w:tr>
        <w:trPr>
          <w:cantSplit/>
        </w:trPr>
        <w:tc>
          <w:tcPr>
            <w:tcW w:type="dxa" w:w="2268"/>
            <w:shd w:fill="EAF3FA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</w:tcPr>
          <w:p>
            <w:r>
              <w:rPr>
                <w:rFonts w:ascii="Noto Sans CJK SC" w:hAnsi="Noto Sans CJK SC" w:eastAsia="Noto Sans CJK SC"/>
                <w:b/>
                <w:color w:val="19324D"/>
                <w:sz w:val="19"/>
              </w:rPr>
              <w:t>目标平台</w:t>
            </w:r>
          </w:p>
        </w:tc>
        <w:tc>
          <w:tcPr>
            <w:tcW w:type="dxa" w:w="5386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</w:tcPr>
          <w:p>
            <w:r>
              <w:rPr>
                <w:rFonts w:ascii="Noto Sans CJK SC" w:hAnsi="Noto Sans CJK SC" w:eastAsia="Noto Sans CJK SC"/>
                <w:sz w:val="19"/>
              </w:rPr>
              <w:t>Windows 11（主）/ WSL 与 Linux（兼容）</w:t>
            </w:r>
          </w:p>
        </w:tc>
      </w:tr>
      <w:tr>
        <w:trPr>
          <w:cantSplit/>
        </w:trPr>
        <w:tc>
          <w:tcPr>
            <w:tcW w:type="dxa" w:w="2268"/>
            <w:shd w:fill="EAF3FA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</w:tcPr>
          <w:p>
            <w:r>
              <w:rPr>
                <w:rFonts w:ascii="Noto Sans CJK SC" w:hAnsi="Noto Sans CJK SC" w:eastAsia="Noto Sans CJK SC"/>
                <w:b/>
                <w:color w:val="19324D"/>
                <w:sz w:val="19"/>
              </w:rPr>
              <w:t>首期 Provider</w:t>
            </w:r>
          </w:p>
        </w:tc>
        <w:tc>
          <w:tcPr>
            <w:tcW w:type="dxa" w:w="5386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</w:tcPr>
          <w:p>
            <w:r>
              <w:rPr>
                <w:rFonts w:ascii="Noto Sans CJK SC" w:hAnsi="Noto Sans CJK SC" w:eastAsia="Noto Sans CJK SC"/>
                <w:sz w:val="19"/>
              </w:rPr>
              <w:t>OpenAI 原生、DeepSeek 官方、Kimi / Moonshot 官方</w:t>
            </w:r>
          </w:p>
        </w:tc>
      </w:tr>
      <w:tr>
        <w:trPr>
          <w:cantSplit/>
        </w:trPr>
        <w:tc>
          <w:tcPr>
            <w:tcW w:type="dxa" w:w="2268"/>
            <w:shd w:fill="EAF3FA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</w:tcPr>
          <w:p>
            <w:r>
              <w:rPr>
                <w:rFonts w:ascii="Noto Sans CJK SC" w:hAnsi="Noto Sans CJK SC" w:eastAsia="Noto Sans CJK SC"/>
                <w:b/>
                <w:color w:val="19324D"/>
                <w:sz w:val="19"/>
              </w:rPr>
              <w:t>文档状态</w:t>
            </w:r>
          </w:p>
        </w:tc>
        <w:tc>
          <w:tcPr>
            <w:tcW w:type="dxa" w:w="5386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</w:tcPr>
          <w:p>
            <w:r>
              <w:rPr>
                <w:rFonts w:ascii="Noto Sans CJK SC" w:hAnsi="Noto Sans CJK SC" w:eastAsia="Noto Sans CJK SC"/>
                <w:sz w:val="19"/>
              </w:rPr>
              <w:t>详细设计草案，可进入原型实现</w:t>
            </w:r>
          </w:p>
        </w:tc>
      </w:tr>
    </w:tbl>
    <w:p>
      <w:pPr>
        <w:widowControl/>
        <w:spacing w:before="1100"/>
        <w:jc w:val="center"/>
      </w:pPr>
      <w:r>
        <w:rPr>
          <w:rFonts w:ascii="Noto Sans CJK SC" w:hAnsi="Noto Sans CJK SC" w:eastAsia="Noto Sans CJK SC"/>
          <w:color w:val="5C6670"/>
          <w:sz w:val="22"/>
        </w:rPr>
        <w:t>本方案将 DeepSeek、Kimi 等第三方模型视为可插拔来源，</w:t>
        <w:br/>
        <w:t>Codex 继续负责项目理解、工具调用、沙箱、审批和代码修改。</w:t>
      </w:r>
    </w:p>
    <w:p>
      <w:pPr>
        <w:widowControl/>
      </w:pPr>
      <w:r>
        <w:rPr>
          <w:rFonts w:ascii="Noto Sans CJK SC" w:hAnsi="Noto Sans CJK SC" w:eastAsia="Noto Sans CJK SC"/>
        </w:rPr>
        <w:br w:type="page"/>
      </w:r>
    </w:p>
    <w:p>
      <w:bookmarkStart w:id="1" w:name="doc_control"/>
      <w:pPr>
        <w:pStyle w:val="Heading1"/>
      </w:pPr>
      <w:r>
        <w:rPr>
          <w:rFonts w:ascii="Noto Sans CJK SC" w:hAnsi="Noto Sans CJK SC" w:eastAsia="Noto Sans CJK SC"/>
        </w:rPr>
        <w:t>文档控制</w:t>
      </w:r>
      <w:bookmarkEnd w:id="1"/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65"/>
        <w:gridCol w:w="2465"/>
        <w:gridCol w:w="2465"/>
        <w:gridCol w:w="2465"/>
      </w:tblGrid>
      <w:tr>
        <w:trPr>
          <w:tblHeader w:val="true"/>
          <w:cantSplit/>
        </w:trPr>
        <w:tc>
          <w:tcPr>
            <w:tcW w:type="dxa" w:w="119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8"/>
              </w:rPr>
              <w:t>版本</w:t>
            </w:r>
          </w:p>
        </w:tc>
        <w:tc>
          <w:tcPr>
            <w:tcW w:type="dxa" w:w="170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8"/>
              </w:rPr>
              <w:t>日期</w:t>
            </w:r>
          </w:p>
        </w:tc>
        <w:tc>
          <w:tcPr>
            <w:tcW w:type="dxa" w:w="4989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8"/>
              </w:rPr>
              <w:t>变更内容</w:t>
            </w:r>
          </w:p>
        </w:tc>
        <w:tc>
          <w:tcPr>
            <w:tcW w:type="dxa" w:w="1247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8"/>
              </w:rPr>
              <w:t>状态</w:t>
            </w:r>
          </w:p>
        </w:tc>
      </w:tr>
      <w:tr>
        <w:trPr>
          <w:cantSplit/>
        </w:trPr>
        <w:tc>
          <w:tcPr>
            <w:tcW w:type="dxa" w:w="119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v1.0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2026-08-05</w:t>
            </w:r>
          </w:p>
        </w:tc>
        <w:tc>
          <w:tcPr>
            <w:tcW w:type="dxa" w:w="498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形成完整目的、需求、架构、详细设计、安全、测试与实施路线。</w:t>
            </w:r>
          </w:p>
        </w:tc>
        <w:tc>
          <w:tcPr>
            <w:tcW w:type="dxa" w:w="124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草案</w:t>
            </w:r>
          </w:p>
        </w:tc>
      </w:tr>
    </w:tbl>
    <w:p>
      <w:pPr>
        <w:widowControl/>
        <w:spacing w:after="0"/>
      </w:pPr>
    </w:p>
    <w:p>
      <w:bookmarkStart w:id="2" w:name="executive_summary"/>
      <w:pPr>
        <w:pStyle w:val="Heading1"/>
      </w:pPr>
      <w:r>
        <w:rPr>
          <w:rFonts w:ascii="Noto Sans CJK SC" w:hAnsi="Noto Sans CJK SC" w:eastAsia="Noto Sans CJK SC"/>
        </w:rPr>
        <w:t>执行摘要</w:t>
      </w:r>
      <w:bookmarkEnd w:id="2"/>
    </w:p>
    <w:p>
      <w:pPr>
        <w:widowControl/>
      </w:pPr>
      <w:r>
        <w:rPr>
          <w:rFonts w:ascii="Noto Sans CJK SC" w:hAnsi="Noto Sans CJK SC" w:eastAsia="Noto Sans CJK SC"/>
          <w:b/>
        </w:rPr>
        <w:t>本项目旨在构建一个运行于本机的 Codex 多模型接入与体验增强系统。</w:t>
      </w:r>
      <w:r>
        <w:rPr>
          <w:rFonts w:ascii="Noto Sans CJK SC" w:hAnsi="Noto Sans CJK SC" w:eastAsia="Noto Sans CJK SC"/>
        </w:rPr>
        <w:t xml:space="preserve"> 用户可以继续使用 Codex 原有 harness，包括项目上下文、AGENTS.md、沙箱、审批、Shell、补丁、Git 工作流和会话记录，同时按需切换 ChatGPT 订阅内的 OpenAI 模型，以及通过独立 API Key 接入的 DeepSeek、Kimi 和其他模型来源。</w:t>
      </w:r>
    </w:p>
    <w:p>
      <w:pPr>
        <w:widowControl/>
      </w:pPr>
      <w:r>
        <w:rPr>
          <w:rFonts w:ascii="Noto Sans CJK SC" w:hAnsi="Noto Sans CJK SC" w:eastAsia="Noto Sans CJK SC"/>
          <w:b/>
        </w:rPr>
        <w:t>核心设计决策是：</w:t>
      </w:r>
      <w:r>
        <w:rPr>
          <w:rFonts w:ascii="Noto Sans CJK SC" w:hAnsi="Noto Sans CJK SC" w:eastAsia="Noto Sans CJK SC"/>
        </w:rPr>
        <w:t>不修改 Codex 的执行核心，也不把第三方协议逻辑耦合到 UI。系统通过本地多模型网关向 Codex 暴露统一的 OpenAI Responses API；网关内部再把请求转换为各上游实际支持的 Chat Completions、Anthropic Messages 或原生 Responses 协议。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FF5E8"/>
            <w:tcBorders>
              <w:top w:val="single" w:sz="8" w:color="B46A1F"/>
              <w:left w:val="single" w:sz="18" w:color="B46A1F"/>
              <w:bottom w:val="single" w:sz="4" w:color="B46A1F"/>
              <w:right w:val="single" w:sz="4" w:color="B46A1F"/>
            </w:tcBorders>
            <w:tcMar>
              <w:top w:w="110" w:type="dxa"/>
              <w:start w:w="150" w:type="dxa"/>
              <w:bottom w:w="110" w:type="dxa"/>
              <w:end w:w="150" w:type="dxa"/>
            </w:tcMar>
          </w:tcPr>
          <w:p>
            <w:r>
              <w:rPr>
                <w:rFonts w:ascii="Noto Sans CJK SC" w:hAnsi="Noto Sans CJK SC" w:eastAsia="Noto Sans CJK SC"/>
                <w:b/>
                <w:color w:val="B46A1F"/>
                <w:sz w:val="19"/>
              </w:rPr>
              <w:t>关键边界：</w:t>
            </w:r>
            <w:r>
              <w:rPr>
                <w:rFonts w:ascii="Noto Sans CJK SC" w:hAnsi="Noto Sans CJK SC" w:eastAsia="Noto Sans CJK SC"/>
                <w:color w:val="20272E"/>
                <w:sz w:val="19"/>
              </w:rPr>
              <w:t>ChatGPT Plus 登录由 Codex 原生 OpenAI Provider 使用；第三方模型通过独立 API Key 和本地网关使用。Plus 权益不等同于 OpenAI API 余额，也不会承担 DeepSeek、Kimi 等第三方调用费用。</w:t>
            </w:r>
          </w:p>
        </w:tc>
      </w:tr>
    </w:tbl>
    <w:p>
      <w:pPr>
        <w:widowControl/>
        <w:spacing w:after="0"/>
      </w:pP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Codex 只面对两个顶层域：OpenAI 原生 Provider，以及本地 multi_gateway Provider。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DeepSeek、Kimi、OpenRouter、本地模型等统一收敛到 multi_gateway，通过逻辑模型 ID 路由。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协议适配器与 Provider 插件分离，避免每接入一个平台就重写整套 Responses 转换逻辑。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会话切换默认采用 Provider 中立的 Handoff Snapshot，原线程跨 Provider 恢复作为实验性能力。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余额、额度、健康状态和用量统一建模，并由本地 UI 覆盖层只读展示。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UI 可参考 Codex Dream Skin 的回环 CDP 注入思路，但 UI 不保存密钥、不负责协议转换。</w:t>
      </w:r>
    </w:p>
    <w:p>
      <w:bookmarkStart w:id="3" w:name="toc"/>
      <w:pPr>
        <w:pStyle w:val="Heading1"/>
      </w:pPr>
      <w:r>
        <w:rPr>
          <w:rFonts w:ascii="Noto Sans CJK SC" w:hAnsi="Noto Sans CJK SC" w:eastAsia="Noto Sans CJK SC"/>
        </w:rPr>
        <w:t>目录</w:t>
      </w:r>
      <w:bookmarkEnd w:id="3"/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1. </w:t>
      </w:r>
      <w:r>
        <w:rPr>
          <w:rFonts w:ascii="Noto Sans CJK SC" w:hAnsi="Noto Sans CJK SC" w:eastAsia="Noto Sans CJK SC"/>
          <w:sz w:val="20"/>
        </w:rPr>
        <w:t>项目背景、目的与范围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2. </w:t>
      </w:r>
      <w:r>
        <w:rPr>
          <w:rFonts w:ascii="Noto Sans CJK SC" w:hAnsi="Noto Sans CJK SC" w:eastAsia="Noto Sans CJK SC"/>
          <w:sz w:val="20"/>
        </w:rPr>
        <w:t>需求分析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3. </w:t>
      </w:r>
      <w:r>
        <w:rPr>
          <w:rFonts w:ascii="Noto Sans CJK SC" w:hAnsi="Noto Sans CJK SC" w:eastAsia="Noto Sans CJK SC"/>
          <w:sz w:val="20"/>
        </w:rPr>
        <w:t>总体架构设计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4. </w:t>
      </w:r>
      <w:r>
        <w:rPr>
          <w:rFonts w:ascii="Noto Sans CJK SC" w:hAnsi="Noto Sans CJK SC" w:eastAsia="Noto Sans CJK SC"/>
          <w:sz w:val="20"/>
        </w:rPr>
        <w:t>详细设计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5. </w:t>
      </w:r>
      <w:r>
        <w:rPr>
          <w:rFonts w:ascii="Noto Sans CJK SC" w:hAnsi="Noto Sans CJK SC" w:eastAsia="Noto Sans CJK SC"/>
          <w:sz w:val="20"/>
        </w:rPr>
        <w:t>接口设计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6. </w:t>
      </w:r>
      <w:r>
        <w:rPr>
          <w:rFonts w:ascii="Noto Sans CJK SC" w:hAnsi="Noto Sans CJK SC" w:eastAsia="Noto Sans CJK SC"/>
          <w:sz w:val="20"/>
        </w:rPr>
        <w:t>配置与模型目录设计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7. </w:t>
      </w:r>
      <w:r>
        <w:rPr>
          <w:rFonts w:ascii="Noto Sans CJK SC" w:hAnsi="Noto Sans CJK SC" w:eastAsia="Noto Sans CJK SC"/>
          <w:sz w:val="20"/>
        </w:rPr>
        <w:t>安全与隐私设计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8. </w:t>
      </w:r>
      <w:r>
        <w:rPr>
          <w:rFonts w:ascii="Noto Sans CJK SC" w:hAnsi="Noto Sans CJK SC" w:eastAsia="Noto Sans CJK SC"/>
          <w:sz w:val="20"/>
        </w:rPr>
        <w:t>可靠性、性能与可观测性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9. </w:t>
      </w:r>
      <w:r>
        <w:rPr>
          <w:rFonts w:ascii="Noto Sans CJK SC" w:hAnsi="Noto Sans CJK SC" w:eastAsia="Noto Sans CJK SC"/>
          <w:sz w:val="20"/>
        </w:rPr>
        <w:t>测试与验收方案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10. </w:t>
      </w:r>
      <w:r>
        <w:rPr>
          <w:rFonts w:ascii="Noto Sans CJK SC" w:hAnsi="Noto Sans CJK SC" w:eastAsia="Noto Sans CJK SC"/>
          <w:sz w:val="20"/>
        </w:rPr>
        <w:t>部署、运维与回滚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11. </w:t>
      </w:r>
      <w:r>
        <w:rPr>
          <w:rFonts w:ascii="Noto Sans CJK SC" w:hAnsi="Noto Sans CJK SC" w:eastAsia="Noto Sans CJK SC"/>
          <w:sz w:val="20"/>
        </w:rPr>
        <w:t>实施路线图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12. </w:t>
      </w:r>
      <w:r>
        <w:rPr>
          <w:rFonts w:ascii="Noto Sans CJK SC" w:hAnsi="Noto Sans CJK SC" w:eastAsia="Noto Sans CJK SC"/>
          <w:sz w:val="20"/>
        </w:rPr>
        <w:t>风险、限制与待决事项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13. </w:t>
      </w:r>
      <w:r>
        <w:rPr>
          <w:rFonts w:ascii="Noto Sans CJK SC" w:hAnsi="Noto Sans CJK SC" w:eastAsia="Noto Sans CJK SC"/>
          <w:sz w:val="20"/>
        </w:rPr>
        <w:t>附录 A：术语表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14. </w:t>
      </w:r>
      <w:r>
        <w:rPr>
          <w:rFonts w:ascii="Noto Sans CJK SC" w:hAnsi="Noto Sans CJK SC" w:eastAsia="Noto Sans CJK SC"/>
          <w:sz w:val="20"/>
        </w:rPr>
        <w:t>附录 B：参考资料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EAF3FA"/>
            <w:tcBorders>
              <w:top w:val="single" w:sz="8" w:color="2F6B9A"/>
              <w:left w:val="single" w:sz="18" w:color="2F6B9A"/>
              <w:bottom w:val="single" w:sz="4" w:color="2F6B9A"/>
              <w:right w:val="single" w:sz="4" w:color="2F6B9A"/>
            </w:tcBorders>
            <w:tcMar>
              <w:top w:w="110" w:type="dxa"/>
              <w:start w:w="150" w:type="dxa"/>
              <w:bottom w:w="110" w:type="dxa"/>
              <w:end w:w="150" w:type="dxa"/>
            </w:tcMar>
          </w:tcPr>
          <w:p>
            <w:r>
              <w:rPr>
                <w:rFonts w:ascii="Noto Sans CJK SC" w:hAnsi="Noto Sans CJK SC" w:eastAsia="Noto Sans CJK SC"/>
                <w:b/>
                <w:color w:val="2F6B9A"/>
                <w:sz w:val="19"/>
              </w:rPr>
              <w:t>导航提示：</w:t>
            </w:r>
            <w:r>
              <w:rPr>
                <w:rFonts w:ascii="Noto Sans CJK SC" w:hAnsi="Noto Sans CJK SC" w:eastAsia="Noto Sans CJK SC"/>
                <w:color w:val="20272E"/>
                <w:sz w:val="19"/>
              </w:rPr>
              <w:t>文档采用 Word 标题层级，可通过导航窗格快速跳转。</w:t>
            </w:r>
          </w:p>
        </w:tc>
      </w:tr>
    </w:tbl>
    <w:p>
      <w:pPr>
        <w:widowControl/>
        <w:spacing w:after="0"/>
      </w:pPr>
    </w:p>
    <w:p>
      <w:pPr>
        <w:widowControl/>
      </w:pPr>
      <w:r>
        <w:rPr>
          <w:rFonts w:ascii="Noto Sans CJK SC" w:hAnsi="Noto Sans CJK SC" w:eastAsia="Noto Sans CJK SC"/>
        </w:rPr>
        <w:br w:type="page"/>
      </w:r>
    </w:p>
    <w:p>
      <w:bookmarkStart w:id="10" w:name="sec1"/>
      <w:pPr>
        <w:pStyle w:val="Heading1"/>
      </w:pPr>
      <w:r>
        <w:rPr>
          <w:rFonts w:ascii="Noto Sans CJK SC" w:hAnsi="Noto Sans CJK SC" w:eastAsia="Noto Sans CJK SC"/>
        </w:rPr>
        <w:t>项目背景、目的与范围</w:t>
      </w:r>
      <w:bookmarkEnd w:id="10"/>
    </w:p>
    <w:p>
      <w:pPr>
        <w:pStyle w:val="Heading2"/>
      </w:pPr>
      <w:r>
        <w:rPr>
          <w:rFonts w:ascii="Noto Sans CJK SC" w:hAnsi="Noto Sans CJK SC" w:eastAsia="Noto Sans CJK SC"/>
        </w:rPr>
        <w:t>1.1 背景</w:t>
      </w:r>
    </w:p>
    <w:p>
      <w:pPr>
        <w:widowControl/>
      </w:pPr>
      <w:r>
        <w:rPr>
          <w:rFonts w:ascii="Noto Sans CJK SC" w:hAnsi="Noto Sans CJK SC" w:eastAsia="Noto Sans CJK SC"/>
        </w:rPr>
        <w:t>Codex 的价值不仅来自模型本身，还来自其 harness：它能够持续读取项目文件、遵守 AGENTS.md、执行 Shell 命令、在沙箱中修改文件、生成补丁、发起审批并维护项目会话。若仅更换为另一个聊天客户端，用户会失去这些工作流能力。</w:t>
      </w:r>
    </w:p>
    <w:p>
      <w:pPr>
        <w:widowControl/>
      </w:pPr>
      <w:r>
        <w:rPr>
          <w:rFonts w:ascii="Noto Sans CJK SC" w:hAnsi="Noto Sans CJK SC" w:eastAsia="Noto Sans CJK SC"/>
        </w:rPr>
        <w:t>用户希望在不放弃 Codex harness 的前提下，按任务特征、成本、速度和模型能力选择 GPT-5.6、DeepSeek、Kimi 以及未来其他模型来源，并在同一项目中保持尽可能一致的会话体验。</w:t>
      </w:r>
    </w:p>
    <w:p>
      <w:pPr>
        <w:widowControl/>
      </w:pPr>
      <w:r>
        <w:rPr>
          <w:rFonts w:ascii="Noto Sans CJK SC" w:hAnsi="Noto Sans CJK SC" w:eastAsia="Noto Sans CJK SC"/>
        </w:rPr>
        <w:t>Codex 自定义模型 Provider 当前只支持 Responses wire API，而 DeepSeek 和 Kimi 官方接口主要兼容 OpenAI Chat Completions。因此，简单修改 base_url 无法完整解决协议、工具调用、流式事件和推理内容重放问题，需要独立的协议适配层。</w:t>
      </w:r>
    </w:p>
    <w:p>
      <w:pPr>
        <w:widowControl/>
      </w:pPr>
      <w:r>
        <w:rPr>
          <w:rFonts w:ascii="Noto Sans CJK SC" w:hAnsi="Noto Sans CJK SC" w:eastAsia="Noto Sans CJK SC"/>
        </w:rPr>
        <w:t>Codex Desktop 的 UI 并未把第三方 Provider、余额和跨 Provider 会话切换作为一等能力；同时，当前社区问题表明 app-server 和 Desktop 在 profile 继承及线程列表过滤方面仍可能存在兼容性问题。因此，稳定入口应先从 CLI 与本地启动器开始，UI 增强作为可替换层逐步加入。</w:t>
      </w:r>
    </w:p>
    <w:p>
      <w:pPr>
        <w:pStyle w:val="Heading2"/>
      </w:pPr>
      <w:r>
        <w:rPr>
          <w:rFonts w:ascii="Noto Sans CJK SC" w:hAnsi="Noto Sans CJK SC" w:eastAsia="Noto Sans CJK SC"/>
        </w:rPr>
        <w:t>1.2 项目目的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保留 Codex harness：不重新实现代码执行、沙箱、审批、Git 和补丁能力。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建立可扩展的多 Provider 接入框架，DeepSeek 和 Kimi 只是首期验证对象。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统一模型切换、项目连续性、账户状态和错误诊断体验。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通过实际构建过程深入理解 Codex 配置层级、Provider、Profiles、模型目录、App Server 与会话存储机制。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在不修改官方二进制、不泄露凭据的前提下改善 Codex Desktop 的模型状态和余额展示。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确保所有修改可回滚、可测试、可审计，Codex 更新后核心功能仍能独立运行。</w:t>
      </w:r>
    </w:p>
    <w:p>
      <w:pPr>
        <w:pStyle w:val="Heading2"/>
      </w:pPr>
      <w:r>
        <w:rPr>
          <w:rFonts w:ascii="Noto Sans CJK SC" w:hAnsi="Noto Sans CJK SC" w:eastAsia="Noto Sans CJK SC"/>
        </w:rPr>
        <w:t>1.3 成功标准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964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编号</w:t>
            </w:r>
          </w:p>
        </w:tc>
        <w:tc>
          <w:tcPr>
            <w:tcW w:type="dxa" w:w="294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成功标准</w:t>
            </w:r>
          </w:p>
        </w:tc>
        <w:tc>
          <w:tcPr>
            <w:tcW w:type="dxa" w:w="5216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可验证结果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S-01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DeepSeek 与 Kimi 均能使用 Codex 工具链</w:t>
            </w:r>
          </w:p>
        </w:tc>
        <w:tc>
          <w:tcPr>
            <w:tcW w:type="dxa" w:w="521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至少通过 Shell、apply_patch、多轮工具调用和流式输出测试。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S-02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切换配置低摩擦</w:t>
            </w:r>
          </w:p>
        </w:tc>
        <w:tc>
          <w:tcPr>
            <w:tcW w:type="dxa" w:w="521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一个命令或 UI 操作可选择来源、模型和项目会话。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S-03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项目连续性可靠</w:t>
            </w:r>
          </w:p>
        </w:tc>
        <w:tc>
          <w:tcPr>
            <w:tcW w:type="dxa" w:w="521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切换后保留工作目录、Git 状态、指令文件、待办和已完成工作摘要。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S-04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余额状态可见</w:t>
            </w:r>
          </w:p>
        </w:tc>
        <w:tc>
          <w:tcPr>
            <w:tcW w:type="dxa" w:w="521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DeepSeek 与 Kimi 的官方余额接口可查询、缓存并在本地 UI 展示。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S-05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凭据不泄露</w:t>
            </w:r>
          </w:p>
        </w:tc>
        <w:tc>
          <w:tcPr>
            <w:tcW w:type="dxa" w:w="521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API Key 不进入项目仓库、Codex DOM、普通日志或会话文本。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S-06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可扩展</w:t>
            </w:r>
          </w:p>
        </w:tc>
        <w:tc>
          <w:tcPr>
            <w:tcW w:type="dxa" w:w="521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新增一个 OpenAI Chat 兼容 Provider 不修改 Codex 集成核心。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S-07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可回滚</w:t>
            </w:r>
          </w:p>
        </w:tc>
        <w:tc>
          <w:tcPr>
            <w:tcW w:type="dxa" w:w="521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关闭网关或卸载 UI 后，Codex 原生 OpenAI 使用不受影响。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1.4 范围</w:t>
      </w:r>
    </w:p>
    <w:p>
      <w:pPr>
        <w:pStyle w:val="Heading3"/>
      </w:pPr>
      <w:r>
        <w:rPr>
          <w:rFonts w:ascii="Noto Sans CJK SC" w:hAnsi="Noto Sans CJK SC" w:eastAsia="Noto Sans CJK SC"/>
        </w:rPr>
        <w:t>1.4.1 本期范围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Windows 11 本机运行，兼容 WSL/Linux 的 CLI 使用方式。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OpenAI 原生 Provider + 本地 multi_gateway 双域模式。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DeepSeek 官方、Kimi / Moonshot 官方两个真实 Provider。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Responses → OpenAI Chat Completions 协议转换。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文本、流式输出、函数工具、freeform 工具适配、工具结果回传、推理内容重放。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模型目录、能力注册、配置生成、启动器、会话索引、Handoff Snapshot。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DeepSeek 与 Kimi 余额查询、统一状态接口和 UI 覆盖层原型。</w:t>
      </w:r>
    </w:p>
    <w:p>
      <w:pPr>
        <w:pStyle w:val="Heading3"/>
      </w:pPr>
      <w:r>
        <w:rPr>
          <w:rFonts w:ascii="Noto Sans CJK SC" w:hAnsi="Noto Sans CJK SC" w:eastAsia="Noto Sans CJK SC"/>
        </w:rPr>
        <w:t>1.4.2 非目标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不破解、代理或导出 ChatGPT OAuth 凭据。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不把 ChatGPT Plus 权益转化为通用 API 服务。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不修改 Codex 官方二进制、签名或 WindowsApps 权限。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首期不实现无条件自动选择最便宜模型，也不在用户未知的情况下跨平台转发代码。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不承诺不同厂商的私有 reasoning 状态可以无损迁移。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不在首期实现云端多用户网关；设计目标是单用户、本机、回环地址。</w:t>
      </w:r>
    </w:p>
    <w:p>
      <w:pPr>
        <w:pStyle w:val="Heading2"/>
      </w:pPr>
      <w:r>
        <w:rPr>
          <w:rFonts w:ascii="Noto Sans CJK SC" w:hAnsi="Noto Sans CJK SC" w:eastAsia="Noto Sans CJK SC"/>
        </w:rPr>
        <w:t>1.5 设计约束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1757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约束</w:t>
            </w:r>
          </w:p>
        </w:tc>
        <w:tc>
          <w:tcPr>
            <w:tcW w:type="dxa" w:w="3402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说明</w:t>
            </w:r>
          </w:p>
        </w:tc>
        <w:tc>
          <w:tcPr>
            <w:tcW w:type="dxa" w:w="3969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设计影响</w:t>
            </w:r>
          </w:p>
        </w:tc>
      </w:tr>
      <w:tr>
        <w:trPr>
          <w:cantSplit/>
        </w:trPr>
        <w:tc>
          <w:tcPr>
            <w:tcW w:type="dxa" w:w="175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Codex wire API</w:t>
            </w:r>
          </w:p>
        </w:tc>
        <w:tc>
          <w:tcPr>
            <w:tcW w:type="dxa" w:w="34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自定义 Provider 的 wire_api 仅支持 responses。</w:t>
            </w:r>
          </w:p>
        </w:tc>
        <w:tc>
          <w:tcPr>
            <w:tcW w:type="dxa" w:w="396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网关必须提供 /v1/responses；Chat Completions 只能作为上游协议。</w:t>
            </w:r>
          </w:p>
        </w:tc>
      </w:tr>
      <w:tr>
        <w:trPr>
          <w:cantSplit/>
        </w:trPr>
        <w:tc>
          <w:tcPr>
            <w:tcW w:type="dxa" w:w="175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认证边界</w:t>
            </w:r>
          </w:p>
        </w:tc>
        <w:tc>
          <w:tcPr>
            <w:tcW w:type="dxa" w:w="34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ChatGPT 登录与第三方 API Key 属于不同计费和权限域。</w:t>
            </w:r>
          </w:p>
        </w:tc>
        <w:tc>
          <w:tcPr>
            <w:tcW w:type="dxa" w:w="396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OpenAI 原生 Provider 不经过网关；第三方密钥独立管理。</w:t>
            </w:r>
          </w:p>
        </w:tc>
      </w:tr>
      <w:tr>
        <w:trPr>
          <w:cantSplit/>
        </w:trPr>
        <w:tc>
          <w:tcPr>
            <w:tcW w:type="dxa" w:w="175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Desktop 兼容性</w:t>
            </w:r>
          </w:p>
        </w:tc>
        <w:tc>
          <w:tcPr>
            <w:tcW w:type="dxa" w:w="34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跨 Provider 线程发现和 profile 继承存在已知社区问题。</w:t>
            </w:r>
          </w:p>
        </w:tc>
        <w:tc>
          <w:tcPr>
            <w:tcW w:type="dxa" w:w="396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CLI/启动器优先；App Server 调用应显式传 modelProvider。</w:t>
            </w:r>
          </w:p>
        </w:tc>
      </w:tr>
      <w:tr>
        <w:trPr>
          <w:cantSplit/>
        </w:trPr>
        <w:tc>
          <w:tcPr>
            <w:tcW w:type="dxa" w:w="175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模型变化快</w:t>
            </w:r>
          </w:p>
        </w:tc>
        <w:tc>
          <w:tcPr>
            <w:tcW w:type="dxa" w:w="34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模型名称、价格、上下文和工具能力会变化。</w:t>
            </w:r>
          </w:p>
        </w:tc>
        <w:tc>
          <w:tcPr>
            <w:tcW w:type="dxa" w:w="396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通过 /models 与配置目录动态维护，不在核心代码硬编码。</w:t>
            </w:r>
          </w:p>
        </w:tc>
      </w:tr>
      <w:tr>
        <w:trPr>
          <w:cantSplit/>
        </w:trPr>
        <w:tc>
          <w:tcPr>
            <w:tcW w:type="dxa" w:w="175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本地安全</w:t>
            </w:r>
          </w:p>
        </w:tc>
        <w:tc>
          <w:tcPr>
            <w:tcW w:type="dxa" w:w="34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网关能接触代码上下文和第三方密钥。</w:t>
            </w:r>
          </w:p>
        </w:tc>
        <w:tc>
          <w:tcPr>
            <w:tcW w:type="dxa" w:w="396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只监听 127.0.0.1，最小日志、凭据隔离、来源白名单。</w:t>
            </w:r>
          </w:p>
        </w:tc>
      </w:tr>
    </w:tbl>
    <w:p>
      <w:pPr>
        <w:widowControl/>
        <w:spacing w:after="0"/>
      </w:pPr>
    </w:p>
    <w:p>
      <w:pPr>
        <w:widowControl/>
      </w:pPr>
      <w:r>
        <w:rPr>
          <w:rFonts w:ascii="Noto Sans CJK SC" w:hAnsi="Noto Sans CJK SC" w:eastAsia="Noto Sans CJK SC"/>
        </w:rPr>
        <w:br w:type="page"/>
      </w:r>
    </w:p>
    <w:p>
      <w:bookmarkStart w:id="20" w:name="sec2"/>
      <w:pPr>
        <w:pStyle w:val="Heading1"/>
      </w:pPr>
      <w:r>
        <w:rPr>
          <w:rFonts w:ascii="Noto Sans CJK SC" w:hAnsi="Noto Sans CJK SC" w:eastAsia="Noto Sans CJK SC"/>
        </w:rPr>
        <w:t>需求分析</w:t>
      </w:r>
      <w:bookmarkEnd w:id="20"/>
    </w:p>
    <w:p>
      <w:pPr>
        <w:pStyle w:val="Heading2"/>
      </w:pPr>
      <w:r>
        <w:rPr>
          <w:rFonts w:ascii="Noto Sans CJK SC" w:hAnsi="Noto Sans CJK SC" w:eastAsia="Noto Sans CJK SC"/>
        </w:rPr>
        <w:t>2.1 用户角色与典型场景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170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角色/场景</w:t>
            </w:r>
          </w:p>
        </w:tc>
        <w:tc>
          <w:tcPr>
            <w:tcW w:type="dxa" w:w="345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主要诉求</w:t>
            </w:r>
          </w:p>
        </w:tc>
        <w:tc>
          <w:tcPr>
            <w:tcW w:type="dxa" w:w="3969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系统响应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日常开发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优先使用 ChatGPT Plus 内的 OpenAI 模型，保持原生体验。</w:t>
            </w:r>
          </w:p>
        </w:tc>
        <w:tc>
          <w:tcPr>
            <w:tcW w:type="dxa" w:w="396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直接走 Codex 内置 OpenAI Provider，不引入额外网关。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成本敏感任务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用 DeepSeek 或 Kimi 完成代码阅读、修改和测试。</w:t>
            </w:r>
          </w:p>
        </w:tc>
        <w:tc>
          <w:tcPr>
            <w:tcW w:type="dxa" w:w="396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启动 multi_gateway profile，并选择对应逻辑模型。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长上下文分析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选择上下文更大或更适合仓库分析的模型。</w:t>
            </w:r>
          </w:p>
        </w:tc>
        <w:tc>
          <w:tcPr>
            <w:tcW w:type="dxa" w:w="396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能力注册表筛选模型，切换时生成中立交接快照。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余额管理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在 Codex 中看到第三方余额或不可用状态。</w:t>
            </w:r>
          </w:p>
        </w:tc>
        <w:tc>
          <w:tcPr>
            <w:tcW w:type="dxa" w:w="396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账户驱动查询官方接口，状态面板展示缓存结果。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配置学习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理解当前有效配置、覆盖层级和启动参数。</w:t>
            </w:r>
          </w:p>
        </w:tc>
        <w:tc>
          <w:tcPr>
            <w:tcW w:type="dxa" w:w="396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启动器提供 explain/diff/doctor 命令和可读配置报告。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故障排查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区分 Codex、网关、协议转换和上游错误。</w:t>
            </w:r>
          </w:p>
        </w:tc>
        <w:tc>
          <w:tcPr>
            <w:tcW w:type="dxa" w:w="396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统一 Trace ID、分层错误码和脱敏诊断包。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2.2 功能需求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65"/>
        <w:gridCol w:w="2465"/>
        <w:gridCol w:w="2465"/>
        <w:gridCol w:w="2465"/>
      </w:tblGrid>
      <w:tr>
        <w:trPr>
          <w:tblHeader w:val="true"/>
          <w:cantSplit/>
        </w:trPr>
        <w:tc>
          <w:tcPr>
            <w:tcW w:type="dxa" w:w="964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ID</w:t>
            </w:r>
          </w:p>
        </w:tc>
        <w:tc>
          <w:tcPr>
            <w:tcW w:type="dxa" w:w="1814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名称</w:t>
            </w:r>
          </w:p>
        </w:tc>
        <w:tc>
          <w:tcPr>
            <w:tcW w:type="dxa" w:w="5443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需求说明</w:t>
            </w:r>
          </w:p>
        </w:tc>
        <w:tc>
          <w:tcPr>
            <w:tcW w:type="dxa" w:w="907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优先级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FR-001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双域模型入口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支持 OpenAI 原生 Provider 与 multi_gateway Provider。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FR-002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统一 Responses 端点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网关实现 /v1/responses，支持 JSON 与 SSE。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FR-003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模型列表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网关实现 /v1/models，并合并静态目录与上游发现结果。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FR-004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OpenAI Chat 适配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实现 Responses 与 Chat Completions 的双向转换。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FR-005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DeepSeek 接入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支持当前官方模型、思考模式、工具调用和余额。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FR-006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Kimi 接入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支持当前官方模型、流式工具调用和余额。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FR-007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工具调用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支持 function 工具和 Codex freeform/apply_patch 适配。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FR-008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多轮工具重放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保存并重放上游要求的 reasoning/tool 上下文。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FR-009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能力校验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请求前判断模型是否支持工具、视觉、流式等能力。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FR-010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配置生成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生成 Codex profile、模型目录和网关配置。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FR-011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快捷启动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提供 Windows PowerShell 与 WSL/Linux 启动命令。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FR-012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项目索引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记录项目路径、线程、Provider、模型和最近状态。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P1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FR-013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安全交接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生成 Provider 中立的 Handoff Snapshot。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FR-014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原线程恢复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在显式标记实验性的情况下尝试跨 Provider resume。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P2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FR-015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账户状态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统一返回 balance、credits、quota、usage 等状态。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FR-016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状态缓存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余额查询应缓存，避免每次渲染都请求上游。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P1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FR-017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UI 状态面板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显示当前来源、模型、余额、网关和能力状态。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P1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FR-018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UI 模型切换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提供明确来源的模型选择，不隐藏数据流向。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P2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FR-019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诊断命令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提供 doctor、config explain、provider test。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FR-020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日志与追踪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每个请求具有 Trace ID，支持脱敏分层日志。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FR-021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一键回滚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停用网关和 UI 后恢复 Codex 原生状态。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  <w:tr>
        <w:trPr>
          <w:cantSplit/>
        </w:trPr>
        <w:tc>
          <w:tcPr>
            <w:tcW w:type="dxa" w:w="96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FR-022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插件扩展</w:t>
            </w:r>
          </w:p>
        </w:tc>
        <w:tc>
          <w:tcPr>
            <w:tcW w:type="dxa" w:w="544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通过 ProviderPlugin 与 ProtocolAdapter 新增来源。</w:t>
            </w:r>
          </w:p>
        </w:tc>
        <w:tc>
          <w:tcPr>
            <w:tcW w:type="dxa" w:w="90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P0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2.3 非功能需求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1020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ID</w:t>
            </w:r>
          </w:p>
        </w:tc>
        <w:tc>
          <w:tcPr>
            <w:tcW w:type="dxa" w:w="170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属性</w:t>
            </w:r>
          </w:p>
        </w:tc>
        <w:tc>
          <w:tcPr>
            <w:tcW w:type="dxa" w:w="6406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要求</w:t>
            </w:r>
          </w:p>
        </w:tc>
      </w:tr>
      <w:tr>
        <w:trPr>
          <w:cantSplit/>
        </w:trPr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NFR-001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安全</w:t>
            </w:r>
          </w:p>
        </w:tc>
        <w:tc>
          <w:tcPr>
            <w:tcW w:type="dxa" w:w="640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默认仅监听 127.0.0.1；密钥不写入普通配置和日志。</w:t>
            </w:r>
          </w:p>
        </w:tc>
      </w:tr>
      <w:tr>
        <w:trPr>
          <w:cantSplit/>
        </w:trPr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NFR-002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可靠性</w:t>
            </w:r>
          </w:p>
        </w:tc>
        <w:tc>
          <w:tcPr>
            <w:tcW w:type="dxa" w:w="640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上游失败不得破坏 Codex 项目文件或会话索引。</w:t>
            </w:r>
          </w:p>
        </w:tc>
      </w:tr>
      <w:tr>
        <w:trPr>
          <w:cantSplit/>
        </w:trPr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NFR-003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可回滚</w:t>
            </w:r>
          </w:p>
        </w:tc>
        <w:tc>
          <w:tcPr>
            <w:tcW w:type="dxa" w:w="640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所有注入、配置改动和服务安装均有撤销路径。</w:t>
            </w:r>
          </w:p>
        </w:tc>
      </w:tr>
      <w:tr>
        <w:trPr>
          <w:cantSplit/>
        </w:trPr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NFR-004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可扩展</w:t>
            </w:r>
          </w:p>
        </w:tc>
        <w:tc>
          <w:tcPr>
            <w:tcW w:type="dxa" w:w="640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新增同协议 Provider 的核心代码改动应最小化。</w:t>
            </w:r>
          </w:p>
        </w:tc>
      </w:tr>
      <w:tr>
        <w:trPr>
          <w:cantSplit/>
        </w:trPr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NFR-005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可测试</w:t>
            </w:r>
          </w:p>
        </w:tc>
        <w:tc>
          <w:tcPr>
            <w:tcW w:type="dxa" w:w="640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协议转换使用固定 fixture 和契约测试。</w:t>
            </w:r>
          </w:p>
        </w:tc>
      </w:tr>
      <w:tr>
        <w:trPr>
          <w:cantSplit/>
        </w:trPr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NFR-006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可观测</w:t>
            </w:r>
          </w:p>
        </w:tc>
        <w:tc>
          <w:tcPr>
            <w:tcW w:type="dxa" w:w="640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能区分入口、适配器、Provider、上游和 harness 错误。</w:t>
            </w:r>
          </w:p>
        </w:tc>
      </w:tr>
      <w:tr>
        <w:trPr>
          <w:cantSplit/>
        </w:trPr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NFR-007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性能</w:t>
            </w:r>
          </w:p>
        </w:tc>
        <w:tc>
          <w:tcPr>
            <w:tcW w:type="dxa" w:w="640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网关额外首包延迟目标 &lt; 100 ms（不含上游）。</w:t>
            </w:r>
          </w:p>
        </w:tc>
      </w:tr>
      <w:tr>
        <w:trPr>
          <w:cantSplit/>
        </w:trPr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NFR-008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流式体验</w:t>
            </w:r>
          </w:p>
        </w:tc>
        <w:tc>
          <w:tcPr>
            <w:tcW w:type="dxa" w:w="640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优先透传真实流；无法透传时明确标记合成流。</w:t>
            </w:r>
          </w:p>
        </w:tc>
      </w:tr>
      <w:tr>
        <w:trPr>
          <w:cantSplit/>
        </w:trPr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NFR-009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兼容性</w:t>
            </w:r>
          </w:p>
        </w:tc>
        <w:tc>
          <w:tcPr>
            <w:tcW w:type="dxa" w:w="640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Windows 主路径不要求修改系统级 Codex 文件。</w:t>
            </w:r>
          </w:p>
        </w:tc>
      </w:tr>
      <w:tr>
        <w:trPr>
          <w:cantSplit/>
        </w:trPr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NFR-010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隐私</w:t>
            </w:r>
          </w:p>
        </w:tc>
        <w:tc>
          <w:tcPr>
            <w:tcW w:type="dxa" w:w="640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用户可为每个 Provider 配置允许发送的项目范围。</w:t>
            </w:r>
          </w:p>
        </w:tc>
      </w:tr>
      <w:tr>
        <w:trPr>
          <w:cantSplit/>
        </w:trPr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NFR-011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可解释</w:t>
            </w:r>
          </w:p>
        </w:tc>
        <w:tc>
          <w:tcPr>
            <w:tcW w:type="dxa" w:w="640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模型切换前可看到来源、计费域和能力差异。</w:t>
            </w:r>
          </w:p>
        </w:tc>
      </w:tr>
      <w:tr>
        <w:trPr>
          <w:cantSplit/>
        </w:trPr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NFR-012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维护性</w:t>
            </w:r>
          </w:p>
        </w:tc>
        <w:tc>
          <w:tcPr>
            <w:tcW w:type="dxa" w:w="640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配置有版本号、Schema 校验和迁移脚本。</w:t>
            </w:r>
          </w:p>
        </w:tc>
      </w:tr>
      <w:tr>
        <w:trPr>
          <w:cantSplit/>
        </w:trPr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NFR-013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数据完整性</w:t>
            </w:r>
          </w:p>
        </w:tc>
        <w:tc>
          <w:tcPr>
            <w:tcW w:type="dxa" w:w="640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会话索引采用原子写入并支持备份恢复。</w:t>
            </w:r>
          </w:p>
        </w:tc>
      </w:tr>
      <w:tr>
        <w:trPr>
          <w:cantSplit/>
        </w:trPr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NFR-014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最小依赖</w:t>
            </w:r>
          </w:p>
        </w:tc>
        <w:tc>
          <w:tcPr>
            <w:tcW w:type="dxa" w:w="640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MVP 优先 Python/uv 或单文件可执行，避免重型服务。</w:t>
            </w:r>
          </w:p>
        </w:tc>
      </w:tr>
      <w:tr>
        <w:trPr>
          <w:cantSplit/>
        </w:trPr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NFR-015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更新适应</w:t>
            </w:r>
          </w:p>
        </w:tc>
        <w:tc>
          <w:tcPr>
            <w:tcW w:type="dxa" w:w="640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Codex 协议变化通过录制 fixture 和版本探测处理。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2.4 数据与隐私需求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第三方 Provider 会接收当前请求中包含的项目文本、对话上下文和工具定义；切换 UI 必须明确显示数据将发送到哪个来源。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API Key、Authorization 头、ChatGPT 凭据、完整请求正文默认不进入持久日志。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Handoff Snapshot 只包含完成任务所需的信息，不包含不可迁移的私有 reasoning。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余额接口返回值可持久化短期缓存，但不得与密钥存储在同一明文文件中。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诊断包默认脱敏路径中的用户名、密钥、Authorization 头和可能的隐私字段。</w:t>
      </w:r>
    </w:p>
    <w:p>
      <w:pPr>
        <w:widowControl/>
      </w:pPr>
      <w:r>
        <w:rPr>
          <w:rFonts w:ascii="Noto Sans CJK SC" w:hAnsi="Noto Sans CJK SC" w:eastAsia="Noto Sans CJK SC"/>
        </w:rPr>
        <w:br w:type="page"/>
      </w:r>
    </w:p>
    <w:p>
      <w:bookmarkStart w:id="30" w:name="sec3"/>
      <w:pPr>
        <w:pStyle w:val="Heading1"/>
      </w:pPr>
      <w:r>
        <w:rPr>
          <w:rFonts w:ascii="Noto Sans CJK SC" w:hAnsi="Noto Sans CJK SC" w:eastAsia="Noto Sans CJK SC"/>
        </w:rPr>
        <w:t>总体架构设计</w:t>
      </w:r>
      <w:bookmarkEnd w:id="30"/>
    </w:p>
    <w:p>
      <w:pPr>
        <w:pStyle w:val="Heading2"/>
      </w:pPr>
      <w:r>
        <w:rPr>
          <w:rFonts w:ascii="Noto Sans CJK SC" w:hAnsi="Noto Sans CJK SC" w:eastAsia="Noto Sans CJK SC"/>
        </w:rPr>
        <w:t>3.1 架构原则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tblHeader w:val="true"/>
          <w:cantSplit/>
        </w:trPr>
        <w:tc>
          <w:tcPr>
            <w:tcW w:type="dxa" w:w="226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8"/>
              </w:rPr>
              <w:t>原则</w:t>
            </w:r>
          </w:p>
        </w:tc>
        <w:tc>
          <w:tcPr>
            <w:tcW w:type="dxa" w:w="6860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8"/>
              </w:rPr>
              <w:t>说明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Harness 保持原生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执行、审批、沙箱、补丁和项目理解由 Codex 负责。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协议与来源解耦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ProtocolAdapter 处理协议，ProviderPlugin 处理认证、余额和平台差异。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显式数据路由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用户始终知道请求发送至 OpenAI、DeepSeek、Kimi 或其他来源。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本地优先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网关、启动器、索引和 UI 状态服务默认只在本机运行。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安全降级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模型不支持能力时先拒绝或显式降级，不静默改变语义。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可替换 UI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即使 UI 注入失效，CLI、网关和配置管理仍可使用。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配置即产品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8"/>
              </w:rPr>
              <w:t>配置生成、解释、差异和迁移是核心能力，而非附属脚本。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3.2 系统上下文</w:t>
      </w:r>
    </w:p>
    <w:p>
      <w:pPr>
        <w:widowControl/>
        <w:spacing w:after="40"/>
        <w:jc w:val="center"/>
      </w:pPr>
      <w:r>
        <w:rPr>
          <w:rFonts w:ascii="Noto Sans CJK SC" w:hAnsi="Noto Sans CJK SC" w:eastAsia="Noto Sans CJK SC"/>
        </w:rPr>
        <w:drawing>
          <wp:inline xmlns:a="http://schemas.openxmlformats.org/drawingml/2006/main" xmlns:pic="http://schemas.openxmlformats.org/drawingml/2006/picture">
            <wp:extent cx="5832000" cy="3338107"/>
            <wp:docPr id="1" name="Picture 1" descr="Image: 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1_context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333810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/>
        <w:spacing w:after="160"/>
        <w:jc w:val="center"/>
      </w:pPr>
      <w:r>
        <w:rPr>
          <w:rFonts w:ascii="Noto Sans CJK SC" w:hAnsi="Noto Sans CJK SC" w:eastAsia="Noto Sans CJK SC"/>
          <w:i/>
          <w:color w:val="5C6670"/>
          <w:sz w:val="18"/>
        </w:rPr>
        <w:t>图 3-1 系统上下文与信任边界</w:t>
      </w:r>
    </w:p>
    <w:p>
      <w:pPr>
        <w:pStyle w:val="Heading2"/>
      </w:pPr>
      <w:r>
        <w:rPr>
          <w:rFonts w:ascii="Noto Sans CJK SC" w:hAnsi="Noto Sans CJK SC" w:eastAsia="Noto Sans CJK SC"/>
        </w:rPr>
        <w:t>3.3 逻辑组件架构</w:t>
      </w:r>
    </w:p>
    <w:p>
      <w:pPr>
        <w:widowControl/>
        <w:spacing w:after="40"/>
        <w:jc w:val="center"/>
      </w:pPr>
      <w:r>
        <w:rPr>
          <w:rFonts w:ascii="Noto Sans CJK SC" w:hAnsi="Noto Sans CJK SC" w:eastAsia="Noto Sans CJK SC"/>
        </w:rPr>
        <w:drawing>
          <wp:inline xmlns:a="http://schemas.openxmlformats.org/drawingml/2006/main" xmlns:pic="http://schemas.openxmlformats.org/drawingml/2006/picture">
            <wp:extent cx="5832000" cy="3660963"/>
            <wp:docPr id="2" name="Picture 2" descr="Image: 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2_components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366096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/>
        <w:spacing w:after="160"/>
        <w:jc w:val="center"/>
      </w:pPr>
      <w:r>
        <w:rPr>
          <w:rFonts w:ascii="Noto Sans CJK SC" w:hAnsi="Noto Sans CJK SC" w:eastAsia="Noto Sans CJK SC"/>
          <w:i/>
          <w:color w:val="5C6670"/>
          <w:sz w:val="18"/>
        </w:rPr>
        <w:t>图 3-2 本地多模型网关的组件划分</w:t>
      </w:r>
    </w:p>
    <w:p>
      <w:pPr>
        <w:pStyle w:val="Heading2"/>
      </w:pPr>
      <w:r>
        <w:rPr>
          <w:rFonts w:ascii="Noto Sans CJK SC" w:hAnsi="Noto Sans CJK SC" w:eastAsia="Noto Sans CJK SC"/>
        </w:rPr>
        <w:t>3.4 部署拓扑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推荐部署拓扑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Windows 11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├─ Codex CLI / Codex Desktop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OpenAI 原生 Provider（ChatGPT 登录或 OpenAI API Key）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└─ multi_gateway → http://127.0.0.1:8787/v1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├─ codex-multi-provider-gateway.exe / Python service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127.0.0.1:8787  Responses 与内部状态 API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Windows Credential Manager / 环境变量读取密钥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└─ %LOCALAPPDATA%\CodexMultiProvider\ 保存配置、缓存和索引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├─ Launcher / Tray（可选）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└─ CDP UI Overlay（可选、可停用）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WSL（可选）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└─ 通过 Windows 回环映射或单独启动 Linux 网关实例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3.5 顶层模型域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65"/>
        <w:gridCol w:w="2465"/>
        <w:gridCol w:w="2465"/>
        <w:gridCol w:w="2465"/>
      </w:tblGrid>
      <w:tr>
        <w:trPr>
          <w:tblHeader w:val="true"/>
          <w:cantSplit/>
        </w:trPr>
        <w:tc>
          <w:tcPr>
            <w:tcW w:type="dxa" w:w="1587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模型域</w:t>
            </w:r>
          </w:p>
        </w:tc>
        <w:tc>
          <w:tcPr>
            <w:tcW w:type="dxa" w:w="3855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认证与计费</w:t>
            </w:r>
          </w:p>
        </w:tc>
        <w:tc>
          <w:tcPr>
            <w:tcW w:type="dxa" w:w="226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典型模型</w:t>
            </w:r>
          </w:p>
        </w:tc>
        <w:tc>
          <w:tcPr>
            <w:tcW w:type="dxa" w:w="1417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是否经过网关</w:t>
            </w:r>
          </w:p>
        </w:tc>
      </w:tr>
      <w:tr>
        <w:trPr>
          <w:cantSplit/>
        </w:trPr>
        <w:tc>
          <w:tcPr>
            <w:tcW w:type="dxa" w:w="158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openai</w:t>
            </w:r>
          </w:p>
        </w:tc>
        <w:tc>
          <w:tcPr>
            <w:tcW w:type="dxa" w:w="385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ChatGPT 登录：订阅权益；API Key：OpenAI API 按量计费。</w:t>
            </w:r>
          </w:p>
        </w:tc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GPT-5.6 等 Codex 可用模型</w:t>
            </w:r>
          </w:p>
        </w:tc>
        <w:tc>
          <w:tcPr>
            <w:tcW w:type="dxa" w:w="141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否</w:t>
            </w:r>
          </w:p>
        </w:tc>
      </w:tr>
      <w:tr>
        <w:trPr>
          <w:cantSplit/>
        </w:trPr>
        <w:tc>
          <w:tcPr>
            <w:tcW w:type="dxa" w:w="158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multi_gateway</w:t>
            </w:r>
          </w:p>
        </w:tc>
        <w:tc>
          <w:tcPr>
            <w:tcW w:type="dxa" w:w="385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各 Provider 独立 API Key 和账户余额。</w:t>
            </w:r>
          </w:p>
        </w:tc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DeepSeek、Kimi、聚合平台、本地模型</w:t>
            </w:r>
          </w:p>
        </w:tc>
        <w:tc>
          <w:tcPr>
            <w:tcW w:type="dxa" w:w="1417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是</w:t>
            </w:r>
          </w:p>
        </w:tc>
      </w:tr>
    </w:tbl>
    <w:p>
      <w:pPr>
        <w:widowControl/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FF5E8"/>
            <w:tcBorders>
              <w:top w:val="single" w:sz="8" w:color="B46A1F"/>
              <w:left w:val="single" w:sz="18" w:color="B46A1F"/>
              <w:bottom w:val="single" w:sz="4" w:color="B46A1F"/>
              <w:right w:val="single" w:sz="4" w:color="B46A1F"/>
            </w:tcBorders>
            <w:tcMar>
              <w:top w:w="110" w:type="dxa"/>
              <w:start w:w="150" w:type="dxa"/>
              <w:bottom w:w="110" w:type="dxa"/>
              <w:end w:w="150" w:type="dxa"/>
            </w:tcMar>
          </w:tcPr>
          <w:p>
            <w:r>
              <w:rPr>
                <w:rFonts w:ascii="Noto Sans CJK SC" w:hAnsi="Noto Sans CJK SC" w:eastAsia="Noto Sans CJK SC"/>
                <w:b/>
                <w:color w:val="B46A1F"/>
                <w:sz w:val="19"/>
              </w:rPr>
              <w:t>为什么不把 OpenAI 原生登录放进网关：</w:t>
            </w:r>
            <w:r>
              <w:rPr>
                <w:rFonts w:ascii="Noto Sans CJK SC" w:hAnsi="Noto Sans CJK SC" w:eastAsia="Noto Sans CJK SC"/>
                <w:color w:val="20272E"/>
                <w:sz w:val="19"/>
              </w:rPr>
              <w:t>ChatGPT 登录由 Codex 自己管理，涉及订阅权限、工作区策略和产品能力。网关只处理用户明确提供的第三方或 API 平台凭据，避免代理 OAuth 和混淆计费域。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3.6 关键架构决策（ADR 摘要）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1134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决策</w:t>
            </w:r>
          </w:p>
        </w:tc>
        <w:tc>
          <w:tcPr>
            <w:tcW w:type="dxa" w:w="3515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选择</w:t>
            </w:r>
          </w:p>
        </w:tc>
        <w:tc>
          <w:tcPr>
            <w:tcW w:type="dxa" w:w="4479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理由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ADR-001</w:t>
            </w:r>
          </w:p>
        </w:tc>
        <w:tc>
          <w:tcPr>
            <w:tcW w:type="dxa" w:w="351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统一向 Codex 暴露 Responses API</w:t>
            </w:r>
          </w:p>
        </w:tc>
        <w:tc>
          <w:tcPr>
            <w:tcW w:type="dxa" w:w="447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满足 Codex 自定义 Provider 的唯一 wire API。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ADR-002</w:t>
            </w:r>
          </w:p>
        </w:tc>
        <w:tc>
          <w:tcPr>
            <w:tcW w:type="dxa" w:w="351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第三方来源统一归入 multi_gateway</w:t>
            </w:r>
          </w:p>
        </w:tc>
        <w:tc>
          <w:tcPr>
            <w:tcW w:type="dxa" w:w="447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减少 Codex provider 切换和线程过滤问题。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ADR-003</w:t>
            </w:r>
          </w:p>
        </w:tc>
        <w:tc>
          <w:tcPr>
            <w:tcW w:type="dxa" w:w="351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协议适配与 Provider 插件分离</w:t>
            </w:r>
          </w:p>
        </w:tc>
        <w:tc>
          <w:tcPr>
            <w:tcW w:type="dxa" w:w="447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同协议平台复用转换逻辑。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ADR-004</w:t>
            </w:r>
          </w:p>
        </w:tc>
        <w:tc>
          <w:tcPr>
            <w:tcW w:type="dxa" w:w="351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Handoff Snapshot 为默认跨域连续性方案</w:t>
            </w:r>
          </w:p>
        </w:tc>
        <w:tc>
          <w:tcPr>
            <w:tcW w:type="dxa" w:w="447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避免不同厂商私有推理状态耦合。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ADR-005</w:t>
            </w:r>
          </w:p>
        </w:tc>
        <w:tc>
          <w:tcPr>
            <w:tcW w:type="dxa" w:w="351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CDP UI 是可选覆盖层</w:t>
            </w:r>
          </w:p>
        </w:tc>
        <w:tc>
          <w:tcPr>
            <w:tcW w:type="dxa" w:w="447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Codex 更新时核心网关不受 UI 失效影响。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ADR-006</w:t>
            </w:r>
          </w:p>
        </w:tc>
        <w:tc>
          <w:tcPr>
            <w:tcW w:type="dxa" w:w="351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不自动跨平台降级</w:t>
            </w:r>
          </w:p>
        </w:tc>
        <w:tc>
          <w:tcPr>
            <w:tcW w:type="dxa" w:w="447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避免意外费用和未授权的数据外发。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ADR-007</w:t>
            </w:r>
          </w:p>
        </w:tc>
        <w:tc>
          <w:tcPr>
            <w:tcW w:type="dxa" w:w="351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模型能力由目录声明并可探测</w:t>
            </w:r>
          </w:p>
        </w:tc>
        <w:tc>
          <w:tcPr>
            <w:tcW w:type="dxa" w:w="447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适应模型名称和特性快速变化。</w:t>
            </w:r>
          </w:p>
        </w:tc>
      </w:tr>
    </w:tbl>
    <w:p>
      <w:pPr>
        <w:widowControl/>
        <w:spacing w:after="0"/>
      </w:pPr>
    </w:p>
    <w:p>
      <w:pPr>
        <w:widowControl/>
      </w:pPr>
      <w:r>
        <w:rPr>
          <w:rFonts w:ascii="Noto Sans CJK SC" w:hAnsi="Noto Sans CJK SC" w:eastAsia="Noto Sans CJK SC"/>
        </w:rPr>
        <w:br w:type="page"/>
      </w:r>
    </w:p>
    <w:p>
      <w:bookmarkStart w:id="40" w:name="sec4"/>
      <w:pPr>
        <w:pStyle w:val="Heading1"/>
      </w:pPr>
      <w:r>
        <w:rPr>
          <w:rFonts w:ascii="Noto Sans CJK SC" w:hAnsi="Noto Sans CJK SC" w:eastAsia="Noto Sans CJK SC"/>
        </w:rPr>
        <w:t>详细设计</w:t>
      </w:r>
      <w:bookmarkEnd w:id="40"/>
    </w:p>
    <w:p>
      <w:pPr>
        <w:pStyle w:val="Heading2"/>
      </w:pPr>
      <w:r>
        <w:rPr>
          <w:rFonts w:ascii="Noto Sans CJK SC" w:hAnsi="Noto Sans CJK SC" w:eastAsia="Noto Sans CJK SC"/>
        </w:rPr>
        <w:t>4.1 Codex 集成层</w:t>
      </w:r>
    </w:p>
    <w:p>
      <w:pPr>
        <w:pStyle w:val="Heading3"/>
      </w:pPr>
      <w:r>
        <w:rPr>
          <w:rFonts w:ascii="Noto Sans CJK SC" w:hAnsi="Noto Sans CJK SC" w:eastAsia="Noto Sans CJK SC"/>
        </w:rPr>
        <w:t>4.1.1 用户级配置与项目级配置</w:t>
      </w:r>
    </w:p>
    <w:p>
      <w:pPr>
        <w:widowControl/>
      </w:pPr>
      <w:r>
        <w:rPr>
          <w:rFonts w:ascii="Noto Sans CJK SC" w:hAnsi="Noto Sans CJK SC" w:eastAsia="Noto Sans CJK SC"/>
        </w:rPr>
        <w:t>Provider、认证、profile 选择和模型目录属于机器本地配置，应放在用户级 $CODEX_HOME 中；项目级 .codex/config.toml 仅保存可以安全进入仓库的项目行为配置。该划分同时符合 Codex 当前配置覆盖规则，并降低密钥或本机路径进入 Git 的风险。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226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配置位置</w:t>
            </w:r>
          </w:p>
        </w:tc>
        <w:tc>
          <w:tcPr>
            <w:tcW w:type="dxa" w:w="345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允许内容</w:t>
            </w:r>
          </w:p>
        </w:tc>
        <w:tc>
          <w:tcPr>
            <w:tcW w:type="dxa" w:w="3402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禁止或不建议内容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~/.codex/config.toml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Provider、认证存储、默认模型、历史、全局沙箱策略。</w:t>
            </w:r>
          </w:p>
        </w:tc>
        <w:tc>
          <w:tcPr>
            <w:tcW w:type="dxa" w:w="34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不建议直接写第三方明文密钥。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$CODEX_HOME/&lt;name&gt;.config.toml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可选择的 profile 文件，模型与模型目录覆盖。</w:t>
            </w:r>
          </w:p>
        </w:tc>
        <w:tc>
          <w:tcPr>
            <w:tcW w:type="dxa" w:w="34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不要放入项目仓库。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&lt;project&gt;/.codex/config.toml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项目沙箱、审批、工具和项目偏好。</w:t>
            </w:r>
          </w:p>
        </w:tc>
        <w:tc>
          <w:tcPr>
            <w:tcW w:type="dxa" w:w="34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Provider、model_providers、profiles、认证信息。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&lt;project&gt;/AGENTS.md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项目约束、构建命令、代码规范、完成标准。</w:t>
            </w:r>
          </w:p>
        </w:tc>
        <w:tc>
          <w:tcPr>
            <w:tcW w:type="dxa" w:w="34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API Key 和账户信息。</w:t>
            </w:r>
          </w:p>
        </w:tc>
      </w:tr>
    </w:tbl>
    <w:p>
      <w:pPr>
        <w:widowControl/>
        <w:spacing w:after="0"/>
      </w:pPr>
    </w:p>
    <w:p>
      <w:pPr>
        <w:pStyle w:val="Heading3"/>
      </w:pPr>
      <w:r>
        <w:rPr>
          <w:rFonts w:ascii="Noto Sans CJK SC" w:hAnsi="Noto Sans CJK SC" w:eastAsia="Noto Sans CJK SC"/>
        </w:rPr>
        <w:t>4.1.2 Profile 选择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OpenAI profile：显式选择内置 openai Provider 和可用 OpenAI 模型。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Gateway profile：选择 multi_gateway Provider，并通过模型 ID 指定具体来源。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启动器必须同时切换 model_provider 与 model，不能只使用 -m。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App Server 客户端启动线程时应显式传递 modelProvider，避免依赖 profile 隐式继承。</w:t>
      </w:r>
    </w:p>
    <w:p>
      <w:pPr>
        <w:pStyle w:val="Heading3"/>
      </w:pPr>
      <w:r>
        <w:rPr>
          <w:rFonts w:ascii="Noto Sans CJK SC" w:hAnsi="Noto Sans CJK SC" w:eastAsia="Noto Sans CJK SC"/>
        </w:rPr>
        <w:t>4.1.3 模型目录</w:t>
      </w:r>
    </w:p>
    <w:p>
      <w:pPr>
        <w:widowControl/>
      </w:pPr>
      <w:r>
        <w:rPr>
          <w:rFonts w:ascii="Noto Sans CJK SC" w:hAnsi="Noto Sans CJK SC" w:eastAsia="Noto Sans CJK SC"/>
        </w:rPr>
        <w:t>第三方模型需在 Codex 模型目录中提供显示名、上下文、基础指令和工具相关元数据。目录由生成器根据内置模板和网关能力注册表生成，避免人工复制过期模型对象。</w:t>
      </w:r>
    </w:p>
    <w:p>
      <w:pPr>
        <w:pStyle w:val="Heading2"/>
      </w:pPr>
      <w:r>
        <w:rPr>
          <w:rFonts w:ascii="Noto Sans CJK SC" w:hAnsi="Noto Sans CJK SC" w:eastAsia="Noto Sans CJK SC"/>
        </w:rPr>
        <w:t>4.2 网关入口层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tblHeader w:val="true"/>
          <w:cantSplit/>
        </w:trPr>
        <w:tc>
          <w:tcPr>
            <w:tcW w:type="dxa" w:w="2324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子模块</w:t>
            </w:r>
          </w:p>
        </w:tc>
        <w:tc>
          <w:tcPr>
            <w:tcW w:type="dxa" w:w="6803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职责</w:t>
            </w:r>
          </w:p>
        </w:tc>
      </w:tr>
      <w:tr>
        <w:trPr>
          <w:cantSplit/>
        </w:trPr>
        <w:tc>
          <w:tcPr>
            <w:tcW w:type="dxa" w:w="232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HTTP Server</w:t>
            </w:r>
          </w:p>
        </w:tc>
        <w:tc>
          <w:tcPr>
            <w:tcW w:type="dxa" w:w="680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监听回环地址，支持 HTTP/1.1、SSE 和取消连接。</w:t>
            </w:r>
          </w:p>
        </w:tc>
      </w:tr>
      <w:tr>
        <w:trPr>
          <w:cantSplit/>
        </w:trPr>
        <w:tc>
          <w:tcPr>
            <w:tcW w:type="dxa" w:w="232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Local Auth</w:t>
            </w:r>
          </w:p>
        </w:tc>
        <w:tc>
          <w:tcPr>
            <w:tcW w:type="dxa" w:w="680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验证 Codex 到网关的本地随机令牌。</w:t>
            </w:r>
          </w:p>
        </w:tc>
      </w:tr>
      <w:tr>
        <w:trPr>
          <w:cantSplit/>
        </w:trPr>
        <w:tc>
          <w:tcPr>
            <w:tcW w:type="dxa" w:w="232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Request Validator</w:t>
            </w:r>
          </w:p>
        </w:tc>
        <w:tc>
          <w:tcPr>
            <w:tcW w:type="dxa" w:w="680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校验 Responses 请求结构、模型 ID 和工具 Schema。</w:t>
            </w:r>
          </w:p>
        </w:tc>
      </w:tr>
      <w:tr>
        <w:trPr>
          <w:cantSplit/>
        </w:trPr>
        <w:tc>
          <w:tcPr>
            <w:tcW w:type="dxa" w:w="232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Trace Context</w:t>
            </w:r>
          </w:p>
        </w:tc>
        <w:tc>
          <w:tcPr>
            <w:tcW w:type="dxa" w:w="680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生成 trace_id，关联入口、上游、工具轮次和错误。</w:t>
            </w:r>
          </w:p>
        </w:tc>
      </w:tr>
      <w:tr>
        <w:trPr>
          <w:cantSplit/>
        </w:trPr>
        <w:tc>
          <w:tcPr>
            <w:tcW w:type="dxa" w:w="232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Policy Gate</w:t>
            </w:r>
          </w:p>
        </w:tc>
        <w:tc>
          <w:tcPr>
            <w:tcW w:type="dxa" w:w="680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检查 Provider 是否允许访问当前项目、是否允许视觉或自动降级。</w:t>
            </w:r>
          </w:p>
        </w:tc>
      </w:tr>
      <w:tr>
        <w:trPr>
          <w:cantSplit/>
        </w:trPr>
        <w:tc>
          <w:tcPr>
            <w:tcW w:type="dxa" w:w="232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Rate Guard</w:t>
            </w:r>
          </w:p>
        </w:tc>
        <w:tc>
          <w:tcPr>
            <w:tcW w:type="dxa" w:w="6803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限制本机并发与余额查询频率，避免配置错误形成请求风暴。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4.3 Canonical IR（统一中间表示）</w:t>
      </w:r>
    </w:p>
    <w:p>
      <w:pPr>
        <w:widowControl/>
      </w:pPr>
      <w:r>
        <w:rPr>
          <w:rFonts w:ascii="Noto Sans CJK SC" w:hAnsi="Noto Sans CJK SC" w:eastAsia="Noto Sans CJK SC"/>
        </w:rPr>
        <w:t>Canonical IR 是网关内部的稳定协议边界。入口层先把 Codex Responses 请求转换为 IR，随后由不同协议适配器消费。这样可以避免每个 Provider 直接理解 Codex 的全部请求形态。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Canonical IR 示例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 统一请求对象（概念结构，字段名可在实现时调整）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CanonicalRequest: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request_id: string                 # 网关请求标识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model_ref: string                  # 逻辑模型 ID，例如 deepseek/default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instructions: list[MessagePart]    # system / developer 指令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conversation: list[Message]        # 用户、助手、工具历史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tools: list[CanonicalTool]         # 函数或 freeform 工具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tool_choice: ToolChoice            # 自动、必选或指定工具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stream: bool                       # 是否流式返回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reasoning: ReasoningOptions        # 推理级别和可见性需求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response_format: ResponseFormat    # 文本或结构化输出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metadata: RequestMetadata          # 项目、线程和追踪元数据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CanonicalEvent: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type: string                       # output_text.delta / tool_call / completed 等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sequence: int                      # 顺序号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item_id: string | null             # 输出项标识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delta: object | null               # 增量内容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usage: Usage | null                # Token 与费用信息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provider_state: object | null      # 仅在适配器内部持有的重放状态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4.4 协议适配器</w:t>
      </w:r>
    </w:p>
    <w:p>
      <w:pPr>
        <w:pStyle w:val="Heading3"/>
      </w:pPr>
      <w:r>
        <w:rPr>
          <w:rFonts w:ascii="Noto Sans CJK SC" w:hAnsi="Noto Sans CJK SC" w:eastAsia="Noto Sans CJK SC"/>
        </w:rPr>
        <w:t>4.4.1 Responses Passthrough Adapter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用于原生支持 Responses API 的第三方或本地服务。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尽量透传请求与 SSE，只对模型名、认证、错误和用量做规范化。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支持 WebSocket 与否由能力注册表声明；MVP 先保证 HTTP + SSE。</w:t>
      </w:r>
    </w:p>
    <w:p>
      <w:pPr>
        <w:pStyle w:val="Heading3"/>
      </w:pPr>
      <w:r>
        <w:rPr>
          <w:rFonts w:ascii="Noto Sans CJK SC" w:hAnsi="Noto Sans CJK SC" w:eastAsia="Noto Sans CJK SC"/>
        </w:rPr>
        <w:t>4.4.2 OpenAI Chat Completions Adapter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tblHeader w:val="true"/>
          <w:cantSplit/>
        </w:trPr>
        <w:tc>
          <w:tcPr>
            <w:tcW w:type="dxa" w:w="294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Responses 概念</w:t>
            </w:r>
          </w:p>
        </w:tc>
        <w:tc>
          <w:tcPr>
            <w:tcW w:type="dxa" w:w="6180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Chat Completions 映射</w:t>
            </w:r>
          </w:p>
        </w:tc>
      </w:tr>
      <w:tr>
        <w:trPr>
          <w:cantSplit/>
        </w:trPr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instructions</w:t>
            </w:r>
          </w:p>
        </w:tc>
        <w:tc>
          <w:tcPr>
            <w:tcW w:type="dxa" w:w="618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转换为 system/developer 消息；按 Provider 支持情况合并。</w:t>
            </w:r>
          </w:p>
        </w:tc>
      </w:tr>
      <w:tr>
        <w:trPr>
          <w:cantSplit/>
        </w:trPr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input 文本</w:t>
            </w:r>
          </w:p>
        </w:tc>
        <w:tc>
          <w:tcPr>
            <w:tcW w:type="dxa" w:w="618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转换为 messages 中的 user/assistant 内容。</w:t>
            </w:r>
          </w:p>
        </w:tc>
      </w:tr>
      <w:tr>
        <w:trPr>
          <w:cantSplit/>
        </w:trPr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function 工具</w:t>
            </w:r>
          </w:p>
        </w:tc>
        <w:tc>
          <w:tcPr>
            <w:tcW w:type="dxa" w:w="618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转换为 tools[type=function]。</w:t>
            </w:r>
          </w:p>
        </w:tc>
      </w:tr>
      <w:tr>
        <w:trPr>
          <w:cantSplit/>
        </w:trPr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freeform 工具</w:t>
            </w:r>
          </w:p>
        </w:tc>
        <w:tc>
          <w:tcPr>
            <w:tcW w:type="dxa" w:w="618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包装为单参数 input:string 的函数工具。</w:t>
            </w:r>
          </w:p>
        </w:tc>
      </w:tr>
      <w:tr>
        <w:trPr>
          <w:cantSplit/>
        </w:trPr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function_call 输出</w:t>
            </w:r>
          </w:p>
        </w:tc>
        <w:tc>
          <w:tcPr>
            <w:tcW w:type="dxa" w:w="618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转换为 assistant.tool_calls。</w:t>
            </w:r>
          </w:p>
        </w:tc>
      </w:tr>
      <w:tr>
        <w:trPr>
          <w:cantSplit/>
        </w:trPr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function_call_output</w:t>
            </w:r>
          </w:p>
        </w:tc>
        <w:tc>
          <w:tcPr>
            <w:tcW w:type="dxa" w:w="618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转换为 role=tool，并绑定 tool_call_id。</w:t>
            </w:r>
          </w:p>
        </w:tc>
      </w:tr>
      <w:tr>
        <w:trPr>
          <w:cantSplit/>
        </w:trPr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reasoning 配置</w:t>
            </w:r>
          </w:p>
        </w:tc>
        <w:tc>
          <w:tcPr>
            <w:tcW w:type="dxa" w:w="618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转换为 Provider 专有 thinking/reasoning_effort 参数。</w:t>
            </w:r>
          </w:p>
        </w:tc>
      </w:tr>
      <w:tr>
        <w:trPr>
          <w:cantSplit/>
        </w:trPr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SSE</w:t>
            </w:r>
          </w:p>
        </w:tc>
        <w:tc>
          <w:tcPr>
            <w:tcW w:type="dxa" w:w="618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将 chat.completion.chunk 转换为 Responses 事件。</w:t>
            </w:r>
          </w:p>
        </w:tc>
      </w:tr>
      <w:tr>
        <w:trPr>
          <w:cantSplit/>
        </w:trPr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usage</w:t>
            </w:r>
          </w:p>
        </w:tc>
        <w:tc>
          <w:tcPr>
            <w:tcW w:type="dxa" w:w="618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转换为统一 prompt/input、completion/output、cache 统计。</w:t>
            </w:r>
          </w:p>
        </w:tc>
      </w:tr>
    </w:tbl>
    <w:p>
      <w:pPr>
        <w:widowControl/>
        <w:spacing w:after="0"/>
      </w:pPr>
    </w:p>
    <w:p>
      <w:pPr>
        <w:pStyle w:val="Heading3"/>
      </w:pPr>
      <w:r>
        <w:rPr>
          <w:rFonts w:ascii="Noto Sans CJK SC" w:hAnsi="Noto Sans CJK SC" w:eastAsia="Noto Sans CJK SC"/>
        </w:rPr>
        <w:t>4.4.3 Anthropic Messages Adapter（预留）</w:t>
      </w:r>
    </w:p>
    <w:p>
      <w:pPr>
        <w:widowControl/>
      </w:pPr>
      <w:r>
        <w:rPr>
          <w:rFonts w:ascii="Noto Sans CJK SC" w:hAnsi="Noto Sans CJK SC" w:eastAsia="Noto Sans CJK SC"/>
        </w:rPr>
        <w:t>该适配器不在 MVP 必须实现范围内，但接口需预留，以支持 Claude 官方接口或使用 Anthropic 协议的其他服务。它将处理 content block、tool_use、tool_result 和 thinking block 的映射。</w:t>
      </w:r>
    </w:p>
    <w:p>
      <w:pPr>
        <w:pStyle w:val="Heading2"/>
      </w:pPr>
      <w:r>
        <w:rPr>
          <w:rFonts w:ascii="Noto Sans CJK SC" w:hAnsi="Noto Sans CJK SC" w:eastAsia="Noto Sans CJK SC"/>
        </w:rPr>
        <w:t>4.5 Provider 插件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Provider 插件接口草案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from typing import Protocol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class ProviderPlugin(Protocol):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"""模型来源插件接口。"""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provider_id: str                 # 来源唯一标识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protocol_id: str                 # 使用的协议适配器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async def list_models(self) -&gt; list[dict]: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    """获取上游当前可用模型，并转换为候选目录条目。"""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async def prepare_request(self, request: dict) -&gt; dict: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    """注入认证、专有参数和来源要求的请求字段。"""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async def get_account_status(self) -&gt; dict: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    """查询余额、额度或账户可用状态。"""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def normalize_error(self, status_code: int, body: object) -&gt; dict: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    """将上游错误转换为统一错误对象。"""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def capability_overrides(self, model_id: str) -&gt; dict: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    """返回来源或模型的能力覆盖。"""</w:t>
            </w:r>
          </w:p>
        </w:tc>
      </w:tr>
    </w:tbl>
    <w:p>
      <w:pPr>
        <w:widowControl/>
        <w:spacing w:after="0"/>
      </w:pPr>
    </w:p>
    <w:p>
      <w:pPr>
        <w:pStyle w:val="Heading3"/>
      </w:pPr>
      <w:r>
        <w:rPr>
          <w:rFonts w:ascii="Noto Sans CJK SC" w:hAnsi="Noto Sans CJK SC" w:eastAsia="Noto Sans CJK SC"/>
        </w:rPr>
        <w:t>4.5.1 DeepSeek Provider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协议：OpenAI Chat Completions；官方同时提供 Anthropic 格式，但首期使用共用 Chat 适配器。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认证：DEEPSEEK_API_KEY；上游 base URL 由配置指定。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模型：通过 /models 动态发现，并使用逻辑别名映射当前官方模型。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推理：根据模型能力转换 reasoning_effort / thinking 参数。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工具：支持 tool calls；当思考模式产生工具调用时，适配器保存并按上游要求重放 reasoning_content。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账户：调用 /user/balance，返回 CNY/USD、总余额、赠送余额和充值余额。</w:t>
      </w:r>
    </w:p>
    <w:p>
      <w:pPr>
        <w:pStyle w:val="Heading3"/>
      </w:pPr>
      <w:r>
        <w:rPr>
          <w:rFonts w:ascii="Noto Sans CJK SC" w:hAnsi="Noto Sans CJK SC" w:eastAsia="Noto Sans CJK SC"/>
        </w:rPr>
        <w:t>4.5.2 Kimi Provider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协议：OpenAI Chat Completions，base URL 为 Kimi 开放平台配置。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认证：MOONSHOT_API_KEY。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模型：通过 /models 动态发现；逻辑别名避免核心配置依赖具体型号。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工具：支持 function tools、strict Schema 和流式 tool_calls。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专有扩展：thinking 通过 extra body 等来源专有字段注入；partial 等能力仅在明确支持时启用。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账户：调用 /v1/users/me/balance，统一映射可用余额、代金券余额和现金余额。</w:t>
      </w:r>
    </w:p>
    <w:p>
      <w:pPr>
        <w:pStyle w:val="Heading2"/>
      </w:pPr>
      <w:r>
        <w:rPr>
          <w:rFonts w:ascii="Noto Sans CJK SC" w:hAnsi="Noto Sans CJK SC" w:eastAsia="Noto Sans CJK SC"/>
        </w:rPr>
        <w:t>4.6 模型标识与能力注册表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模型能力目录示例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 逻辑模型 ID 与上游型号解耦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[models."deepseek/default"]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provider = "deepseek"               # 模型来源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upstream_model = "${DISCOVERED}"    # 由发现或用户配置解析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protocol = "openai-chat"            # 上游协议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supports_tools = true                # 是否支持函数工具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supports_freeform_tools = "adapter" # native / adapter / false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supports_reasoning = true            # 是否支持思考模式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supports_reasoning_replay = true     # 工具轮次是否需要推理重放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supports_streaming = true            # 是否支持真实流式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supports_images = false              # 是否支持图片输入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[models."kimi/default"]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provider = "kimi"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upstream_model = "${DISCOVERED}"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protocol = "openai-chat"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supports_tools = true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supports_freeform_tools = "adapter"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supports_reasoning = true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supports_streaming = true</w:t>
            </w:r>
          </w:p>
        </w:tc>
      </w:tr>
    </w:tbl>
    <w:p>
      <w:pPr>
        <w:widowControl/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187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能力值</w:t>
            </w:r>
          </w:p>
        </w:tc>
        <w:tc>
          <w:tcPr>
            <w:tcW w:type="dxa" w:w="328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含义</w:t>
            </w:r>
          </w:p>
        </w:tc>
        <w:tc>
          <w:tcPr>
            <w:tcW w:type="dxa" w:w="3969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处理方式</w:t>
            </w:r>
          </w:p>
        </w:tc>
      </w:tr>
      <w:tr>
        <w:trPr>
          <w:cantSplit/>
        </w:trPr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true / native</w:t>
            </w:r>
          </w:p>
        </w:tc>
        <w:tc>
          <w:tcPr>
            <w:tcW w:type="dxa" w:w="328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上游原生支持。</w:t>
            </w:r>
          </w:p>
        </w:tc>
        <w:tc>
          <w:tcPr>
            <w:tcW w:type="dxa" w:w="396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直接映射并保留语义。</w:t>
            </w:r>
          </w:p>
        </w:tc>
      </w:tr>
      <w:tr>
        <w:trPr>
          <w:cantSplit/>
        </w:trPr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adapter</w:t>
            </w:r>
          </w:p>
        </w:tc>
        <w:tc>
          <w:tcPr>
            <w:tcW w:type="dxa" w:w="328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上游不原生支持，但适配器可近似实现。</w:t>
            </w:r>
          </w:p>
        </w:tc>
        <w:tc>
          <w:tcPr>
            <w:tcW w:type="dxa" w:w="396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标记为兼容模式并记录转换。</w:t>
            </w:r>
          </w:p>
        </w:tc>
      </w:tr>
      <w:tr>
        <w:trPr>
          <w:cantSplit/>
        </w:trPr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false</w:t>
            </w:r>
          </w:p>
        </w:tc>
        <w:tc>
          <w:tcPr>
            <w:tcW w:type="dxa" w:w="328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不支持。</w:t>
            </w:r>
          </w:p>
        </w:tc>
        <w:tc>
          <w:tcPr>
            <w:tcW w:type="dxa" w:w="396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请求前拒绝或要求用户换模型。</w:t>
            </w:r>
          </w:p>
        </w:tc>
      </w:tr>
      <w:tr>
        <w:trPr>
          <w:cantSplit/>
        </w:trPr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unknown</w:t>
            </w:r>
          </w:p>
        </w:tc>
        <w:tc>
          <w:tcPr>
            <w:tcW w:type="dxa" w:w="328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尚未验证。</w:t>
            </w:r>
          </w:p>
        </w:tc>
        <w:tc>
          <w:tcPr>
            <w:tcW w:type="dxa" w:w="396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默认保守拒绝高风险能力，可允许显式实验。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4.7 路由设计</w:t>
      </w:r>
    </w:p>
    <w:p>
      <w:pPr>
        <w:pStyle w:val="Heading3"/>
      </w:pPr>
      <w:r>
        <w:rPr>
          <w:rFonts w:ascii="Noto Sans CJK SC" w:hAnsi="Noto Sans CJK SC" w:eastAsia="Noto Sans CJK SC"/>
        </w:rPr>
        <w:t>4.7.1 模型 ID</w:t>
      </w:r>
    </w:p>
    <w:p>
      <w:pPr>
        <w:widowControl/>
      </w:pPr>
      <w:r>
        <w:rPr>
          <w:rFonts w:ascii="Noto Sans CJK SC" w:hAnsi="Noto Sans CJK SC" w:eastAsia="Noto Sans CJK SC"/>
        </w:rPr>
        <w:t>逻辑模型 ID 采用 &lt;provider&gt;/&lt;alias&gt;，例如 deepseek/default、kimi/coding、openrouter/kimi。UI 必须同时显示模型和来源，避免同一模型经不同渠道调用时产生费用与隐私误解。</w:t>
      </w:r>
    </w:p>
    <w:p>
      <w:pPr>
        <w:pStyle w:val="Heading3"/>
      </w:pPr>
      <w:r>
        <w:rPr>
          <w:rFonts w:ascii="Noto Sans CJK SC" w:hAnsi="Noto Sans CJK SC" w:eastAsia="Noto Sans CJK SC"/>
        </w:rPr>
        <w:t>4.7.2 手动路由优先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MVP 中每次切换由用户明确选择来源和模型。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不因 429、余额不足或超时自动发送到另一平台。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后续自动路由必须配置允许来源、单次费用上限、项目白名单和确认策略。</w:t>
      </w:r>
    </w:p>
    <w:p>
      <w:pPr>
        <w:pStyle w:val="Heading3"/>
      </w:pPr>
      <w:r>
        <w:rPr>
          <w:rFonts w:ascii="Noto Sans CJK SC" w:hAnsi="Noto Sans CJK SC" w:eastAsia="Noto Sans CJK SC"/>
        </w:rPr>
        <w:t>4.7.3 路由决策顺序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1. </w:t>
      </w:r>
      <w:r>
        <w:rPr>
          <w:rFonts w:ascii="Noto Sans CJK SC" w:hAnsi="Noto Sans CJK SC" w:eastAsia="Noto Sans CJK SC"/>
          <w:sz w:val="20"/>
        </w:rPr>
        <w:t>解析逻辑模型 ID 与别名。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2. </w:t>
      </w:r>
      <w:r>
        <w:rPr>
          <w:rFonts w:ascii="Noto Sans CJK SC" w:hAnsi="Noto Sans CJK SC" w:eastAsia="Noto Sans CJK SC"/>
          <w:sz w:val="20"/>
        </w:rPr>
        <w:t>检查 Provider 是否启用、凭据是否存在、项目是否允许外发。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3. </w:t>
      </w:r>
      <w:r>
        <w:rPr>
          <w:rFonts w:ascii="Noto Sans CJK SC" w:hAnsi="Noto Sans CJK SC" w:eastAsia="Noto Sans CJK SC"/>
          <w:sz w:val="20"/>
        </w:rPr>
        <w:t>检查模型能力是否覆盖当前工具、输入模态和流式要求。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4. </w:t>
      </w:r>
      <w:r>
        <w:rPr>
          <w:rFonts w:ascii="Noto Sans CJK SC" w:hAnsi="Noto Sans CJK SC" w:eastAsia="Noto Sans CJK SC"/>
          <w:sz w:val="20"/>
        </w:rPr>
        <w:t>应用用户显式策略，例如固定来源或只允许官方直连。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5. </w:t>
      </w:r>
      <w:r>
        <w:rPr>
          <w:rFonts w:ascii="Noto Sans CJK SC" w:hAnsi="Noto Sans CJK SC" w:eastAsia="Noto Sans CJK SC"/>
          <w:sz w:val="20"/>
        </w:rPr>
        <w:t>生成上游请求，并记录脱敏路由决策。</w:t>
      </w:r>
    </w:p>
    <w:p>
      <w:pPr>
        <w:pStyle w:val="Heading2"/>
      </w:pPr>
      <w:r>
        <w:rPr>
          <w:rFonts w:ascii="Noto Sans CJK SC" w:hAnsi="Noto Sans CJK SC" w:eastAsia="Noto Sans CJK SC"/>
        </w:rPr>
        <w:t>4.8 工具调用与 Harness 协作</w:t>
      </w:r>
    </w:p>
    <w:p>
      <w:pPr>
        <w:widowControl/>
        <w:spacing w:after="40"/>
        <w:jc w:val="center"/>
      </w:pPr>
      <w:r>
        <w:rPr>
          <w:rFonts w:ascii="Noto Sans CJK SC" w:hAnsi="Noto Sans CJK SC" w:eastAsia="Noto Sans CJK SC"/>
        </w:rPr>
        <w:drawing>
          <wp:inline xmlns:a="http://schemas.openxmlformats.org/drawingml/2006/main" xmlns:pic="http://schemas.openxmlformats.org/drawingml/2006/picture">
            <wp:extent cx="5832000" cy="3570504"/>
            <wp:docPr id="3" name="Picture 3" descr="Image: 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3_sequenc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357050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/>
        <w:spacing w:after="160"/>
        <w:jc w:val="center"/>
      </w:pPr>
      <w:r>
        <w:rPr>
          <w:rFonts w:ascii="Noto Sans CJK SC" w:hAnsi="Noto Sans CJK SC" w:eastAsia="Noto Sans CJK SC"/>
          <w:i/>
          <w:color w:val="5C6670"/>
          <w:sz w:val="18"/>
        </w:rPr>
        <w:t>图 4-1 工具调用轮次：网关转换，Codex harness 执行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网关不直接运行 Shell，也不直接修改项目文件。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Codex 发出的工具 Schema 经适配器转换后交给模型；模型返回工具调用后，再转换为 Responses 工具事件。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Codex harness 根据原有沙箱和审批策略执行工具，并将结果作为下一轮输入。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适配器应维护 tool_call_id 映射，防止不同协议的 ID 格式或并行调用语义不一致。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若上游不支持并行工具调用，网关应串行化或明确拒绝，不得静默丢弃调用。</w:t>
      </w:r>
    </w:p>
    <w:p>
      <w:pPr>
        <w:pStyle w:val="Heading2"/>
      </w:pPr>
      <w:r>
        <w:rPr>
          <w:rFonts w:ascii="Noto Sans CJK SC" w:hAnsi="Noto Sans CJK SC" w:eastAsia="Noto Sans CJK SC"/>
        </w:rPr>
        <w:t>4.9 会话与项目连续性</w:t>
      </w:r>
    </w:p>
    <w:p>
      <w:pPr>
        <w:widowControl/>
        <w:spacing w:after="40"/>
        <w:jc w:val="center"/>
      </w:pPr>
      <w:r>
        <w:rPr>
          <w:rFonts w:ascii="Noto Sans CJK SC" w:hAnsi="Noto Sans CJK SC" w:eastAsia="Noto Sans CJK SC"/>
        </w:rPr>
        <w:drawing>
          <wp:inline xmlns:a="http://schemas.openxmlformats.org/drawingml/2006/main" xmlns:pic="http://schemas.openxmlformats.org/drawingml/2006/picture">
            <wp:extent cx="5832000" cy="3338107"/>
            <wp:docPr id="4" name="Picture 4" descr="Image: 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4_session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333810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/>
        <w:spacing w:after="160"/>
        <w:jc w:val="center"/>
      </w:pPr>
      <w:r>
        <w:rPr>
          <w:rFonts w:ascii="Noto Sans CJK SC" w:hAnsi="Noto Sans CJK SC" w:eastAsia="Noto Sans CJK SC"/>
          <w:i/>
          <w:color w:val="5C6670"/>
          <w:sz w:val="18"/>
        </w:rPr>
        <w:t>图 4-2 会话连续性：原线程恢复与中立交接</w:t>
      </w:r>
    </w:p>
    <w:p>
      <w:pPr>
        <w:pStyle w:val="Heading3"/>
      </w:pPr>
      <w:r>
        <w:rPr>
          <w:rFonts w:ascii="Noto Sans CJK SC" w:hAnsi="Noto Sans CJK SC" w:eastAsia="Noto Sans CJK SC"/>
        </w:rPr>
        <w:t>4.9.1 项目锚点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项目锚点数据结构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ProjectAnchor: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project_id: string                 # 稳定项目标识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canonical_path: string             # 规范化工作目录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git_root: string | null             # Git 根目录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git_head: string | null             # 当前提交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active_branch: string | null        # 当前分支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agents_files: list[string]          # AGENTS.md 等指令文件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codex_threads: list[ThreadRef]      # 已关联线程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last_handoff: string | null         # 最近交接快照路径</w:t>
            </w:r>
          </w:p>
        </w:tc>
      </w:tr>
    </w:tbl>
    <w:p>
      <w:pPr>
        <w:widowControl/>
        <w:spacing w:after="0"/>
      </w:pPr>
    </w:p>
    <w:p>
      <w:pPr>
        <w:pStyle w:val="Heading3"/>
      </w:pPr>
      <w:r>
        <w:rPr>
          <w:rFonts w:ascii="Noto Sans CJK SC" w:hAnsi="Noto Sans CJK SC" w:eastAsia="Noto Sans CJK SC"/>
        </w:rPr>
        <w:t>4.9.2 Handoff Snapshot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任务目标、已确认约束和完成标准。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已读取/修改的关键文件及用途。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当前 Git 状态、diff 摘要和未提交变更。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已执行命令、测试结果和失败原因。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关键技术决策、待办事项和下一步建议。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Provider 能力差异提示，例如目标模型不支持图片或并行工具。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EAF3FA"/>
            <w:tcBorders>
              <w:top w:val="single" w:sz="8" w:color="2F6B9A"/>
              <w:left w:val="single" w:sz="18" w:color="2F6B9A"/>
              <w:bottom w:val="single" w:sz="4" w:color="2F6B9A"/>
              <w:right w:val="single" w:sz="4" w:color="2F6B9A"/>
            </w:tcBorders>
            <w:tcMar>
              <w:top w:w="110" w:type="dxa"/>
              <w:start w:w="150" w:type="dxa"/>
              <w:bottom w:w="110" w:type="dxa"/>
              <w:end w:w="150" w:type="dxa"/>
            </w:tcMar>
          </w:tcPr>
          <w:p>
            <w:r>
              <w:rPr>
                <w:rFonts w:ascii="Noto Sans CJK SC" w:hAnsi="Noto Sans CJK SC" w:eastAsia="Noto Sans CJK SC"/>
                <w:b/>
                <w:color w:val="2F6B9A"/>
                <w:sz w:val="19"/>
              </w:rPr>
              <w:t>不包含内容：</w:t>
            </w:r>
            <w:r>
              <w:rPr>
                <w:rFonts w:ascii="Noto Sans CJK SC" w:hAnsi="Noto Sans CJK SC" w:eastAsia="Noto Sans CJK SC"/>
                <w:color w:val="20272E"/>
                <w:sz w:val="19"/>
              </w:rPr>
              <w:t>Handoff Snapshot 不复制不可见的私有推理链，也不假设目标模型能理解来源模型的隐藏状态。</w:t>
            </w:r>
          </w:p>
        </w:tc>
      </w:tr>
    </w:tbl>
    <w:p>
      <w:pPr>
        <w:widowControl/>
        <w:spacing w:after="0"/>
      </w:pPr>
    </w:p>
    <w:p>
      <w:pPr>
        <w:pStyle w:val="Heading3"/>
      </w:pPr>
      <w:r>
        <w:rPr>
          <w:rFonts w:ascii="Noto Sans CJK SC" w:hAnsi="Noto Sans CJK SC" w:eastAsia="Noto Sans CJK SC"/>
        </w:rPr>
        <w:t>4.9.3 原线程恢复</w:t>
      </w:r>
    </w:p>
    <w:p>
      <w:pPr>
        <w:widowControl/>
      </w:pPr>
      <w:r>
        <w:rPr>
          <w:rFonts w:ascii="Noto Sans CJK SC" w:hAnsi="Noto Sans CJK SC" w:eastAsia="Noto Sans CJK SC"/>
        </w:rPr>
        <w:t>原线程跨 Provider 恢复只作为实验模式。启动器在调用 resume 或 App Server thread/resume 时显式指定 modelProvider 和 model；若出现线程不可见、协议状态不兼容或请求失败，自动建议回退为 Handoff Snapshot 新线程。</w:t>
      </w:r>
    </w:p>
    <w:p>
      <w:pPr>
        <w:pStyle w:val="Heading2"/>
      </w:pPr>
      <w:r>
        <w:rPr>
          <w:rFonts w:ascii="Noto Sans CJK SC" w:hAnsi="Noto Sans CJK SC" w:eastAsia="Noto Sans CJK SC"/>
        </w:rPr>
        <w:t>4.10 账户、余额与使用量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统一账户状态模型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AccountStatus: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provider_id: string                # 来源标识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status: available | low | empty | error | unsupported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metric_type: balance | credits | quota | usage | subscription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currency: CNY | USD | null         # 余额币种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remaining: decimal | null          # 总可用余额或额度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components: dict                   # 赠金、现金、代金券等明细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observed_at: datetime              # 查询时间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expires_at: datetime               # 缓存失效时间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error_code: string | null          # 脱敏错误码</w:t>
            </w:r>
          </w:p>
        </w:tc>
      </w:tr>
    </w:tbl>
    <w:p>
      <w:pPr>
        <w:widowControl/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170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Provider</w:t>
            </w:r>
          </w:p>
        </w:tc>
        <w:tc>
          <w:tcPr>
            <w:tcW w:type="dxa" w:w="306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官方端点</w:t>
            </w:r>
          </w:p>
        </w:tc>
        <w:tc>
          <w:tcPr>
            <w:tcW w:type="dxa" w:w="4365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映射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DeepSeek</w:t>
            </w:r>
          </w:p>
        </w:tc>
        <w:tc>
          <w:tcPr>
            <w:tcW w:type="dxa" w:w="306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GET /user/balance</w:t>
            </w:r>
          </w:p>
        </w:tc>
        <w:tc>
          <w:tcPr>
            <w:tcW w:type="dxa" w:w="436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total_balance → remaining；granted/topped_up → components。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Kimi</w:t>
            </w:r>
          </w:p>
        </w:tc>
        <w:tc>
          <w:tcPr>
            <w:tcW w:type="dxa" w:w="306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GET /v1/users/me/balance</w:t>
            </w:r>
          </w:p>
        </w:tc>
        <w:tc>
          <w:tcPr>
            <w:tcW w:type="dxa" w:w="436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available_balance → remaining；voucher/cash → components。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其他</w:t>
            </w:r>
          </w:p>
        </w:tc>
        <w:tc>
          <w:tcPr>
            <w:tcW w:type="dxa" w:w="306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由 AccountDriver 定义</w:t>
            </w:r>
          </w:p>
        </w:tc>
        <w:tc>
          <w:tcPr>
            <w:tcW w:type="dxa" w:w="436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不支持时返回 metric_type=unsupported。</w:t>
            </w:r>
          </w:p>
        </w:tc>
      </w:tr>
    </w:tbl>
    <w:p>
      <w:pPr>
        <w:widowControl/>
        <w:spacing w:after="0"/>
      </w:pP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余额缓存默认 60 秒，失败时可短暂展示最近一次成功值并标注过期。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余额请求与推理请求使用同一 Provider Key，但通过独立驱动和限速器调用。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UI 不直接调用第三方平台，只访问网关的脱敏 /internal/status。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使用量由每次响应的 usage 聚合，估算费用只作为本地参考，官方余额为最终来源。</w:t>
      </w:r>
    </w:p>
    <w:p>
      <w:pPr>
        <w:pStyle w:val="Heading2"/>
      </w:pPr>
      <w:r>
        <w:rPr>
          <w:rFonts w:ascii="Noto Sans CJK SC" w:hAnsi="Noto Sans CJK SC" w:eastAsia="Noto Sans CJK SC"/>
        </w:rPr>
        <w:t>4.11 配置管理器与启动器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tblHeader w:val="true"/>
          <w:cantSplit/>
        </w:trPr>
        <w:tc>
          <w:tcPr>
            <w:tcW w:type="dxa" w:w="226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命令</w:t>
            </w:r>
          </w:p>
        </w:tc>
        <w:tc>
          <w:tcPr>
            <w:tcW w:type="dxa" w:w="6860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用途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 init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初始化目录、生成本地令牌和示例配置。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 provider add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交互式添加 Provider，并把 Key 写入安全存储。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 model list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列出逻辑模型、来源、能力和账户状态。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 codex start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按项目、profile、模型启动 Codex。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 codex resume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列出项目线程并选择恢复或生成 Handoff。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 config explain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展示最终有效配置、来源层级和覆盖关系。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 doctor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检查端口、密钥、Provider、Responses、工具调用和 UI 状态。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 rollback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停用服务、移除 UI 注入并恢复备份配置。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4.12 UI 覆盖层</w:t>
      </w:r>
    </w:p>
    <w:p>
      <w:pPr>
        <w:pStyle w:val="Heading3"/>
      </w:pPr>
      <w:r>
        <w:rPr>
          <w:rFonts w:ascii="Noto Sans CJK SC" w:hAnsi="Noto Sans CJK SC" w:eastAsia="Noto Sans CJK SC"/>
        </w:rPr>
        <w:t>4.12.1 实现思路</w:t>
      </w:r>
    </w:p>
    <w:p>
      <w:pPr>
        <w:widowControl/>
      </w:pPr>
      <w:r>
        <w:rPr>
          <w:rFonts w:ascii="Noto Sans CJK SC" w:hAnsi="Noto Sans CJK SC" w:eastAsia="Noto Sans CJK SC"/>
        </w:rPr>
        <w:t>UI 可参考 Codex Dream Skin 的本机回环 CDP 注入方式：启动官方 Codex 后，通过受限 CDP 连接识别目标窗口，在渲染层加入 Shadow DOM 状态组件。该组件是可选增强，不修改官方二进制、应用签名或 app.asar。</w:t>
      </w:r>
    </w:p>
    <w:p>
      <w:pPr>
        <w:pStyle w:val="Heading3"/>
      </w:pPr>
      <w:r>
        <w:rPr>
          <w:rFonts w:ascii="Noto Sans CJK SC" w:hAnsi="Noto Sans CJK SC" w:eastAsia="Noto Sans CJK SC"/>
        </w:rPr>
        <w:t>4.12.2 状态面板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建议 UI 形态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┌────────────────────────────────────┐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Kimi · Moonshot 官方               │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模型：kimi/default                 │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余额：¥ 49.59（60 秒前）           │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Gateway ●  Tools ●  Stream ●       │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                                  │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[切换模型] [账户状态] [请求诊断]   │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└────────────────────────────────────┘</w:t>
            </w:r>
          </w:p>
        </w:tc>
      </w:tr>
    </w:tbl>
    <w:p>
      <w:pPr>
        <w:widowControl/>
        <w:spacing w:after="0"/>
      </w:pPr>
    </w:p>
    <w:p>
      <w:pPr>
        <w:pStyle w:val="Heading3"/>
      </w:pPr>
      <w:r>
        <w:rPr>
          <w:rFonts w:ascii="Noto Sans CJK SC" w:hAnsi="Noto Sans CJK SC" w:eastAsia="Noto Sans CJK SC"/>
        </w:rPr>
        <w:t>4.12.3 UI 安全边界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UI 只访问 127.0.0.1 的只读状态接口，使用短期会话令牌。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UI 不接收或保存第三方 API Key，不把 Key 放入 DOM、localStorage 或主题包。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模型切换请求交给本地启动器/控制服务执行，UI 不直接编辑 config.toml。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提供暂停、恢复和完整卸载入口；选择器失效时不影响 Codex 主功能。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DOM 选择器采用版本化契约和多重识别，不依赖单一脆弱 class 名称。</w:t>
      </w:r>
    </w:p>
    <w:p>
      <w:pPr>
        <w:pStyle w:val="Heading2"/>
      </w:pPr>
      <w:r>
        <w:rPr>
          <w:rFonts w:ascii="Noto Sans CJK SC" w:hAnsi="Noto Sans CJK SC" w:eastAsia="Noto Sans CJK SC"/>
        </w:rPr>
        <w:t>4.13 本地数据存储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Windows 主路径目录设计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%LOCALAPPDATA%\CodexMultiProvider\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├─ config\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gateway.toml                   # 非敏感配置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models.toml                    # 逻辑模型与能力目录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└─ schema-version                 # 配置版本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├─ state\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projects.json                  # 项目与线程索引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account-cache.json             # 脱敏余额缓存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└─ migrations.json                # 配置迁移记录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├─ handoffs\                         # Provider 中立交接快照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├─ logs\                             # 脱敏日志与轮转文件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├─ backups\                          # 配置和 UI 修改备份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└─ runtime\                          # PID、端口、短期令牌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Windows Credential Manager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├─ CMP/deepseek/api-key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├─ CMP/kimi/api-key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└─ CMP/local-gateway/token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4.14 错误模型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187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错误域</w:t>
            </w:r>
          </w:p>
        </w:tc>
        <w:tc>
          <w:tcPr>
            <w:tcW w:type="dxa" w:w="294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示例错误码</w:t>
            </w:r>
          </w:p>
        </w:tc>
        <w:tc>
          <w:tcPr>
            <w:tcW w:type="dxa" w:w="4309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用户动作</w:t>
            </w:r>
          </w:p>
        </w:tc>
      </w:tr>
      <w:tr>
        <w:trPr>
          <w:cantSplit/>
        </w:trPr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Codex 配置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CMP-CODEX-001 Provider 未生效</w:t>
            </w:r>
          </w:p>
        </w:tc>
        <w:tc>
          <w:tcPr>
            <w:tcW w:type="dxa" w:w="430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查看 config explain，确认 profile 和 model_provider。</w:t>
            </w:r>
          </w:p>
        </w:tc>
      </w:tr>
      <w:tr>
        <w:trPr>
          <w:cantSplit/>
        </w:trPr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入口校验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CMP-REQ-002 不支持的工具 Schema</w:t>
            </w:r>
          </w:p>
        </w:tc>
        <w:tc>
          <w:tcPr>
            <w:tcW w:type="dxa" w:w="430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换模型或关闭该能力。</w:t>
            </w:r>
          </w:p>
        </w:tc>
      </w:tr>
      <w:tr>
        <w:trPr>
          <w:cantSplit/>
        </w:trPr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协议转换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CMP-ADAPTER-003 工具结果无法关联</w:t>
            </w:r>
          </w:p>
        </w:tc>
        <w:tc>
          <w:tcPr>
            <w:tcW w:type="dxa" w:w="430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导出脱敏 trace，检查 tool_call_id。</w:t>
            </w:r>
          </w:p>
        </w:tc>
      </w:tr>
      <w:tr>
        <w:trPr>
          <w:cantSplit/>
        </w:trPr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Provider 认证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CMP-AUTH-401 Key 无效</w:t>
            </w:r>
          </w:p>
        </w:tc>
        <w:tc>
          <w:tcPr>
            <w:tcW w:type="dxa" w:w="430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更新安全存储中的 Key。</w:t>
            </w:r>
          </w:p>
        </w:tc>
      </w:tr>
      <w:tr>
        <w:trPr>
          <w:cantSplit/>
        </w:trPr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账户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CMP-BILLING-402 余额不足</w:t>
            </w:r>
          </w:p>
        </w:tc>
        <w:tc>
          <w:tcPr>
            <w:tcW w:type="dxa" w:w="430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充值或显式选择其他来源。</w:t>
            </w:r>
          </w:p>
        </w:tc>
      </w:tr>
      <w:tr>
        <w:trPr>
          <w:cantSplit/>
        </w:trPr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限速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CMP-UPSTREAM-429</w:t>
            </w:r>
          </w:p>
        </w:tc>
        <w:tc>
          <w:tcPr>
            <w:tcW w:type="dxa" w:w="430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等待、降低并发；不自动跨来源。</w:t>
            </w:r>
          </w:p>
        </w:tc>
      </w:tr>
      <w:tr>
        <w:trPr>
          <w:cantSplit/>
        </w:trPr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流式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CMP-STREAM-005 上游流中断</w:t>
            </w:r>
          </w:p>
        </w:tc>
        <w:tc>
          <w:tcPr>
            <w:tcW w:type="dxa" w:w="430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按幂等策略重试或恢复当前轮次。</w:t>
            </w:r>
          </w:p>
        </w:tc>
      </w:tr>
      <w:tr>
        <w:trPr>
          <w:cantSplit/>
        </w:trPr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会话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CMP-SESSION-006 跨域恢复失败</w:t>
            </w:r>
          </w:p>
        </w:tc>
        <w:tc>
          <w:tcPr>
            <w:tcW w:type="dxa" w:w="430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生成 Handoff Snapshot 开新线程。</w:t>
            </w:r>
          </w:p>
        </w:tc>
      </w:tr>
    </w:tbl>
    <w:p>
      <w:pPr>
        <w:widowControl/>
        <w:spacing w:after="0"/>
      </w:pPr>
    </w:p>
    <w:p>
      <w:pPr>
        <w:widowControl/>
      </w:pPr>
      <w:r>
        <w:rPr>
          <w:rFonts w:ascii="Noto Sans CJK SC" w:hAnsi="Noto Sans CJK SC" w:eastAsia="Noto Sans CJK SC"/>
        </w:rPr>
        <w:br w:type="page"/>
      </w:r>
    </w:p>
    <w:p>
      <w:bookmarkStart w:id="50" w:name="sec5"/>
      <w:pPr>
        <w:pStyle w:val="Heading1"/>
      </w:pPr>
      <w:r>
        <w:rPr>
          <w:rFonts w:ascii="Noto Sans CJK SC" w:hAnsi="Noto Sans CJK SC" w:eastAsia="Noto Sans CJK SC"/>
        </w:rPr>
        <w:t>接口设计</w:t>
      </w:r>
      <w:bookmarkEnd w:id="50"/>
    </w:p>
    <w:p>
      <w:pPr>
        <w:pStyle w:val="Heading2"/>
      </w:pPr>
      <w:r>
        <w:rPr>
          <w:rFonts w:ascii="Noto Sans CJK SC" w:hAnsi="Noto Sans CJK SC" w:eastAsia="Noto Sans CJK SC"/>
        </w:rPr>
        <w:t>5.1 Northbound API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65"/>
        <w:gridCol w:w="2465"/>
        <w:gridCol w:w="2465"/>
        <w:gridCol w:w="2465"/>
      </w:tblGrid>
      <w:tr>
        <w:trPr>
          <w:tblHeader w:val="true"/>
          <w:cantSplit/>
        </w:trPr>
        <w:tc>
          <w:tcPr>
            <w:tcW w:type="dxa" w:w="272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接口</w:t>
            </w:r>
          </w:p>
        </w:tc>
        <w:tc>
          <w:tcPr>
            <w:tcW w:type="dxa" w:w="1020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方法</w:t>
            </w:r>
          </w:p>
        </w:tc>
        <w:tc>
          <w:tcPr>
            <w:tcW w:type="dxa" w:w="3912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用途</w:t>
            </w:r>
          </w:p>
        </w:tc>
        <w:tc>
          <w:tcPr>
            <w:tcW w:type="dxa" w:w="1474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访问范围</w:t>
            </w:r>
          </w:p>
        </w:tc>
      </w:tr>
      <w:tr>
        <w:trPr>
          <w:cantSplit/>
        </w:trPr>
        <w:tc>
          <w:tcPr>
            <w:tcW w:type="dxa" w:w="272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/v1/responses</w:t>
            </w:r>
          </w:p>
        </w:tc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POST</w:t>
            </w:r>
          </w:p>
        </w:tc>
        <w:tc>
          <w:tcPr>
            <w:tcW w:type="dxa" w:w="391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Codex Responses 请求入口。</w:t>
            </w:r>
          </w:p>
        </w:tc>
        <w:tc>
          <w:tcPr>
            <w:tcW w:type="dxa" w:w="147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本机令牌</w:t>
            </w:r>
          </w:p>
        </w:tc>
      </w:tr>
      <w:tr>
        <w:trPr>
          <w:cantSplit/>
        </w:trPr>
        <w:tc>
          <w:tcPr>
            <w:tcW w:type="dxa" w:w="272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/v1/models</w:t>
            </w:r>
          </w:p>
        </w:tc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GET</w:t>
            </w:r>
          </w:p>
        </w:tc>
        <w:tc>
          <w:tcPr>
            <w:tcW w:type="dxa" w:w="391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返回逻辑模型列表和基本元数据。</w:t>
            </w:r>
          </w:p>
        </w:tc>
        <w:tc>
          <w:tcPr>
            <w:tcW w:type="dxa" w:w="147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本机令牌</w:t>
            </w:r>
          </w:p>
        </w:tc>
      </w:tr>
      <w:tr>
        <w:trPr>
          <w:cantSplit/>
        </w:trPr>
        <w:tc>
          <w:tcPr>
            <w:tcW w:type="dxa" w:w="272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/healthz</w:t>
            </w:r>
          </w:p>
        </w:tc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GET</w:t>
            </w:r>
          </w:p>
        </w:tc>
        <w:tc>
          <w:tcPr>
            <w:tcW w:type="dxa" w:w="391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进程存活检查。</w:t>
            </w:r>
          </w:p>
        </w:tc>
        <w:tc>
          <w:tcPr>
            <w:tcW w:type="dxa" w:w="147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回环地址</w:t>
            </w:r>
          </w:p>
        </w:tc>
      </w:tr>
      <w:tr>
        <w:trPr>
          <w:cantSplit/>
        </w:trPr>
        <w:tc>
          <w:tcPr>
            <w:tcW w:type="dxa" w:w="272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/readyz</w:t>
            </w:r>
          </w:p>
        </w:tc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GET</w:t>
            </w:r>
          </w:p>
        </w:tc>
        <w:tc>
          <w:tcPr>
            <w:tcW w:type="dxa" w:w="391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配置、目录和适配器就绪检查。</w:t>
            </w:r>
          </w:p>
        </w:tc>
        <w:tc>
          <w:tcPr>
            <w:tcW w:type="dxa" w:w="147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回环地址</w:t>
            </w:r>
          </w:p>
        </w:tc>
      </w:tr>
      <w:tr>
        <w:trPr>
          <w:cantSplit/>
        </w:trPr>
        <w:tc>
          <w:tcPr>
            <w:tcW w:type="dxa" w:w="272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/internal/status</w:t>
            </w:r>
          </w:p>
        </w:tc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GET</w:t>
            </w:r>
          </w:p>
        </w:tc>
        <w:tc>
          <w:tcPr>
            <w:tcW w:type="dxa" w:w="391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当前模型、账户缓存、能力和健康状态。</w:t>
            </w:r>
          </w:p>
        </w:tc>
        <w:tc>
          <w:tcPr>
            <w:tcW w:type="dxa" w:w="147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UI 短期令牌</w:t>
            </w:r>
          </w:p>
        </w:tc>
      </w:tr>
      <w:tr>
        <w:trPr>
          <w:cantSplit/>
        </w:trPr>
        <w:tc>
          <w:tcPr>
            <w:tcW w:type="dxa" w:w="272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/internal/providers</w:t>
            </w:r>
          </w:p>
        </w:tc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GET</w:t>
            </w:r>
          </w:p>
        </w:tc>
        <w:tc>
          <w:tcPr>
            <w:tcW w:type="dxa" w:w="391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Provider 列表与启用状态。</w:t>
            </w:r>
          </w:p>
        </w:tc>
        <w:tc>
          <w:tcPr>
            <w:tcW w:type="dxa" w:w="147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控制令牌</w:t>
            </w:r>
          </w:p>
        </w:tc>
      </w:tr>
      <w:tr>
        <w:trPr>
          <w:cantSplit/>
        </w:trPr>
        <w:tc>
          <w:tcPr>
            <w:tcW w:type="dxa" w:w="272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/internal/sessions/handoff</w:t>
            </w:r>
          </w:p>
        </w:tc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POST</w:t>
            </w:r>
          </w:p>
        </w:tc>
        <w:tc>
          <w:tcPr>
            <w:tcW w:type="dxa" w:w="391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生成或读取交接快照。</w:t>
            </w:r>
          </w:p>
        </w:tc>
        <w:tc>
          <w:tcPr>
            <w:tcW w:type="dxa" w:w="147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控制令牌</w:t>
            </w:r>
          </w:p>
        </w:tc>
      </w:tr>
      <w:tr>
        <w:trPr>
          <w:cantSplit/>
        </w:trPr>
        <w:tc>
          <w:tcPr>
            <w:tcW w:type="dxa" w:w="272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/internal/diagnostics/export</w:t>
            </w:r>
          </w:p>
        </w:tc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POST</w:t>
            </w:r>
          </w:p>
        </w:tc>
        <w:tc>
          <w:tcPr>
            <w:tcW w:type="dxa" w:w="391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生成脱敏诊断包。</w:t>
            </w:r>
          </w:p>
        </w:tc>
        <w:tc>
          <w:tcPr>
            <w:tcW w:type="dxa" w:w="147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控制令牌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5.2 /internal/status 响应示例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只读状态接口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{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"gateway": {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"status": "ready",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"version": "0.1.0",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"listen": "127.0.0.1:8787"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},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"active": {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"model_ref": "kimi/default",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"provider_id": "kimi",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"display_name": "Kimi · Moonshot 官方"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},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"capabilities": {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"tools": true,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"freeform_tools": "adapter",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"reasoning": true,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"streaming": true,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"images": false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},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"account": {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"status": "available",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"metric_type": "balance",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"currency": "CNY",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"remaining": "49.58894",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"components": {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  "voucher": "46.58893",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  "cash": "3.00001"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},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 "observed_at": "2026-08-05T20:00:00+08:00"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}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}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5.3 Provider 插件配置接口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Provider 配置示例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[providers.deepseek]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enabled = true                         # 是否启用该来源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display_name = "DeepSeek 官方"        # UI 显示名称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protocol = "openai-chat"               # 复用 Chat 适配器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base_url = "https://api.deepseek.com" # 上游服务地址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api_key_secret = "CMP/deepseek/api-key" # 安全存储项名称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model_discovery = true                  # 是否调用 /models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account_driver = "deepseek-balance"    # 余额驱动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project_policy = "explicit"            # 首次用于项目时要求确认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[providers.kimi]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enabled = true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display_name = "Kimi · Moonshot 官方"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protocol = "openai-chat"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base_url = "https://api.moonshot.cn/v1"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api_key_secret = "CMP/kimi/api-key"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model_discovery = true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account_driver = "kimi-balance"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project_policy = "explicit"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5.4 Handoff Snapshot 格式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Provider 中立交接文本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 Handoff Snapshot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## 任务目标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- 修复 xxx，并保持 yyy 行为不变。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## 项目状态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- 工作目录：...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- Git 分支：...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- 未提交文件：...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## 已完成工作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- 读取：src/a.py、src/b.py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- 修改：src/a.py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- 验证：pytest tests/test_a.py 通过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## 关键决策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- 选择方案 A，因为...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## 未解决事项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- 某集成测试仍因外部服务不可用而跳过。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## 目标模型注意事项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- 目标 Provider 不支持原生 freeform 工具，将通过函数包装器适配。</w:t>
            </w:r>
          </w:p>
        </w:tc>
      </w:tr>
    </w:tbl>
    <w:p>
      <w:pPr>
        <w:widowControl/>
        <w:spacing w:after="0"/>
      </w:pPr>
    </w:p>
    <w:p>
      <w:pPr>
        <w:widowControl/>
      </w:pPr>
      <w:r>
        <w:rPr>
          <w:rFonts w:ascii="Noto Sans CJK SC" w:hAnsi="Noto Sans CJK SC" w:eastAsia="Noto Sans CJK SC"/>
        </w:rPr>
        <w:br w:type="page"/>
      </w:r>
    </w:p>
    <w:p>
      <w:bookmarkStart w:id="60" w:name="sec6"/>
      <w:pPr>
        <w:pStyle w:val="Heading1"/>
      </w:pPr>
      <w:r>
        <w:rPr>
          <w:rFonts w:ascii="Noto Sans CJK SC" w:hAnsi="Noto Sans CJK SC" w:eastAsia="Noto Sans CJK SC"/>
        </w:rPr>
        <w:t>配置与模型目录设计</w:t>
      </w:r>
      <w:bookmarkEnd w:id="60"/>
    </w:p>
    <w:p>
      <w:pPr>
        <w:pStyle w:val="Heading2"/>
      </w:pPr>
      <w:r>
        <w:rPr>
          <w:rFonts w:ascii="Noto Sans CJK SC" w:hAnsi="Noto Sans CJK SC" w:eastAsia="Noto Sans CJK SC"/>
        </w:rPr>
        <w:t>6.1 Codex 用户级配置示例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Codex 用户级配置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 ~/.codex/config.toml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 保存本地会话历史，便于恢复与索引。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[history]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persistence = "save-all"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 优先使用系统凭据存储保存 Codex 登录信息。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cli_auth_credentials_store = "keyring"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 第三方模型统一通过本地多模型网关接入。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[model_providers.multi_gateway]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name = "Local Multi-Provider Gateway"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base_url = "http://127.0.0.1:8787/v1"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env_key = "CODEX_MULTI_GATEWAY_TOKEN"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wire_api = "responses"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request_max_retries = 2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stream_max_retries = 2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stream_idle_timeout_ms = 300000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 第三方模型目录由生成器维护。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model_catalog_json = "C:/Users/&lt;USER&gt;/.codex/multi-provider-models.json"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6.2 Profile 文件示例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Codex profile 文件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 $CODEX_HOME/openai.config.toml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model_provider = "openai"             # 使用 Codex 原生 OpenAI Provider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model = "gpt-5.6"                     # 实际可用模型以 Codex 列表为准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 $CODEX_HOME/deepseek.config.toml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model_provider = "multi_gateway"      # 使用本地网关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model = "deepseek/default"            # 逻辑模型 ID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model_catalog_json = "C:/Users/&lt;USER&gt;/.codex/multi-provider-models.json"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 $CODEX_HOME/kimi.config.toml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model_provider = "multi_gateway"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model = "kimi/default"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model_catalog_json = "C:/Users/&lt;USER&gt;/.codex/multi-provider-models.json"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6.3 启动命令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启动与恢复示例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 Windows PowerShell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codex --profile openai                 # 使用 ChatGPT 登录对应的 OpenAI 模型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codex --profile deepseek               # 使用 DeepSeek 官方来源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codex --profile kimi                   # 使用 Kimi 官方来源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 推荐通过启动器保留项目与会话索引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cmp codex start --project . --model deepseek/default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cmp codex resume --project . --model kimi/default --handoff auto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6.4 配置覆盖与解释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170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优先级（高→低）</w:t>
            </w:r>
          </w:p>
        </w:tc>
        <w:tc>
          <w:tcPr>
            <w:tcW w:type="dxa" w:w="306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来源</w:t>
            </w:r>
          </w:p>
        </w:tc>
        <w:tc>
          <w:tcPr>
            <w:tcW w:type="dxa" w:w="4365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用途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1</w:t>
            </w:r>
          </w:p>
        </w:tc>
        <w:tc>
          <w:tcPr>
            <w:tcW w:type="dxa" w:w="306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启动时显式参数</w:t>
            </w:r>
          </w:p>
        </w:tc>
        <w:tc>
          <w:tcPr>
            <w:tcW w:type="dxa" w:w="436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当前启动覆盖，例如模型、工作目录。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2</w:t>
            </w:r>
          </w:p>
        </w:tc>
        <w:tc>
          <w:tcPr>
            <w:tcW w:type="dxa" w:w="306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选中的 profile 文件</w:t>
            </w:r>
          </w:p>
        </w:tc>
        <w:tc>
          <w:tcPr>
            <w:tcW w:type="dxa" w:w="436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用户选择的模型域和模型目录。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3</w:t>
            </w:r>
          </w:p>
        </w:tc>
        <w:tc>
          <w:tcPr>
            <w:tcW w:type="dxa" w:w="306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用户级 config.toml</w:t>
            </w:r>
          </w:p>
        </w:tc>
        <w:tc>
          <w:tcPr>
            <w:tcW w:type="dxa" w:w="436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Provider、历史、认证存储和全局默认。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4</w:t>
            </w:r>
          </w:p>
        </w:tc>
        <w:tc>
          <w:tcPr>
            <w:tcW w:type="dxa" w:w="306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受信任项目 .codex/config.toml</w:t>
            </w:r>
          </w:p>
        </w:tc>
        <w:tc>
          <w:tcPr>
            <w:tcW w:type="dxa" w:w="436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项目沙箱、审批和工具偏好。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5</w:t>
            </w:r>
          </w:p>
        </w:tc>
        <w:tc>
          <w:tcPr>
            <w:tcW w:type="dxa" w:w="306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Codex 内置默认值</w:t>
            </w:r>
          </w:p>
        </w:tc>
        <w:tc>
          <w:tcPr>
            <w:tcW w:type="dxa" w:w="436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未配置项的最终默认。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6.5 配置迁移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所有配置文件包含 schema_version。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升级前生成时间戳备份，并输出迁移差异。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不自动覆盖用户自定义 Provider；生成器维护的区块使用显式标记。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Codex 更新后先运行 cmp doctor --codex-version-check，再决定是否更新模型目录和适配器 fixture。</w:t>
      </w:r>
    </w:p>
    <w:p>
      <w:pPr>
        <w:widowControl/>
      </w:pPr>
      <w:r>
        <w:rPr>
          <w:rFonts w:ascii="Noto Sans CJK SC" w:hAnsi="Noto Sans CJK SC" w:eastAsia="Noto Sans CJK SC"/>
        </w:rPr>
        <w:br w:type="page"/>
      </w:r>
    </w:p>
    <w:p>
      <w:bookmarkStart w:id="70" w:name="sec7"/>
      <w:pPr>
        <w:pStyle w:val="Heading1"/>
      </w:pPr>
      <w:r>
        <w:rPr>
          <w:rFonts w:ascii="Noto Sans CJK SC" w:hAnsi="Noto Sans CJK SC" w:eastAsia="Noto Sans CJK SC"/>
        </w:rPr>
        <w:t>安全与隐私设计</w:t>
      </w:r>
      <w:bookmarkEnd w:id="70"/>
    </w:p>
    <w:p>
      <w:pPr>
        <w:pStyle w:val="Heading2"/>
      </w:pPr>
      <w:r>
        <w:rPr>
          <w:rFonts w:ascii="Noto Sans CJK SC" w:hAnsi="Noto Sans CJK SC" w:eastAsia="Noto Sans CJK SC"/>
        </w:rPr>
        <w:t>7.1 威胁模型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1984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威胁</w:t>
            </w:r>
          </w:p>
        </w:tc>
        <w:tc>
          <w:tcPr>
            <w:tcW w:type="dxa" w:w="294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风险</w:t>
            </w:r>
          </w:p>
        </w:tc>
        <w:tc>
          <w:tcPr>
            <w:tcW w:type="dxa" w:w="4195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控制措施</w:t>
            </w:r>
          </w:p>
        </w:tc>
      </w:tr>
      <w:tr>
        <w:trPr>
          <w:cantSplit/>
        </w:trPr>
        <w:tc>
          <w:tcPr>
            <w:tcW w:type="dxa" w:w="198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本机其他进程调用网关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窃取模型调用或余额信息。</w:t>
            </w:r>
          </w:p>
        </w:tc>
        <w:tc>
          <w:tcPr>
            <w:tcW w:type="dxa" w:w="419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只监听回环；随机 Bearer token；区分 Codex、UI、控制令牌。</w:t>
            </w:r>
          </w:p>
        </w:tc>
      </w:tr>
      <w:tr>
        <w:trPr>
          <w:cantSplit/>
        </w:trPr>
        <w:tc>
          <w:tcPr>
            <w:tcW w:type="dxa" w:w="198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API Key 泄露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账户余额被盗用。</w:t>
            </w:r>
          </w:p>
        </w:tc>
        <w:tc>
          <w:tcPr>
            <w:tcW w:type="dxa" w:w="419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Windows Credential Manager/系统 keyring；日志与 UI 永不输出 Key。</w:t>
            </w:r>
          </w:p>
        </w:tc>
      </w:tr>
      <w:tr>
        <w:trPr>
          <w:cantSplit/>
        </w:trPr>
        <w:tc>
          <w:tcPr>
            <w:tcW w:type="dxa" w:w="198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恶意项目配置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把请求路由到攻击者服务。</w:t>
            </w:r>
          </w:p>
        </w:tc>
        <w:tc>
          <w:tcPr>
            <w:tcW w:type="dxa" w:w="419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项目级配置禁止覆盖 Provider；仅信任用户级 Provider 配置。</w:t>
            </w:r>
          </w:p>
        </w:tc>
      </w:tr>
      <w:tr>
        <w:trPr>
          <w:cantSplit/>
        </w:trPr>
        <w:tc>
          <w:tcPr>
            <w:tcW w:type="dxa" w:w="198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UI 注入被滥用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读取 DOM、伪造模型状态。</w:t>
            </w:r>
          </w:p>
        </w:tc>
        <w:tc>
          <w:tcPr>
            <w:tcW w:type="dxa" w:w="419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验证进程与窗口；Shadow DOM 隔离；只读状态 API；可一键停用。</w:t>
            </w:r>
          </w:p>
        </w:tc>
      </w:tr>
      <w:tr>
        <w:trPr>
          <w:cantSplit/>
        </w:trPr>
        <w:tc>
          <w:tcPr>
            <w:tcW w:type="dxa" w:w="198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上游数据外发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私有代码发送到非预期平台。</w:t>
            </w:r>
          </w:p>
        </w:tc>
        <w:tc>
          <w:tcPr>
            <w:tcW w:type="dxa" w:w="419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项目-Provider 首次授权、来源常驻显示、自动路由默认关闭。</w:t>
            </w:r>
          </w:p>
        </w:tc>
      </w:tr>
      <w:tr>
        <w:trPr>
          <w:cantSplit/>
        </w:trPr>
        <w:tc>
          <w:tcPr>
            <w:tcW w:type="dxa" w:w="198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日志泄露代码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请求正文进入日志或诊断包。</w:t>
            </w:r>
          </w:p>
        </w:tc>
        <w:tc>
          <w:tcPr>
            <w:tcW w:type="dxa" w:w="419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默认只记录摘要和哈希；正文追踪需显式短期开启。</w:t>
            </w:r>
          </w:p>
        </w:tc>
      </w:tr>
      <w:tr>
        <w:trPr>
          <w:cantSplit/>
        </w:trPr>
        <w:tc>
          <w:tcPr>
            <w:tcW w:type="dxa" w:w="198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依赖供应链</w:t>
            </w:r>
          </w:p>
        </w:tc>
        <w:tc>
          <w:tcPr>
            <w:tcW w:type="dxa" w:w="294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安装器或适配器被篡改。</w:t>
            </w:r>
          </w:p>
        </w:tc>
        <w:tc>
          <w:tcPr>
            <w:tcW w:type="dxa" w:w="419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锁定依赖、校验哈希、最小权限、可重复构建。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7.2 凭据管理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优先使用 Windows Credential Manager 或跨平台 keyring；环境变量仅用于临时开发。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网关启动时按需读取 Key，不把 Key复制到 gateway.toml。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Provider Key 与本地网关令牌分离，令牌轮换不影响上游账号。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诊断命令只报告 Key 是否存在和哈希指纹，不显示内容。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源码仓库包含 .env.example，不包含 .env；pre-commit 检查常见密钥模式。</w:t>
      </w:r>
    </w:p>
    <w:p>
      <w:pPr>
        <w:pStyle w:val="Heading2"/>
      </w:pPr>
      <w:r>
        <w:rPr>
          <w:rFonts w:ascii="Noto Sans CJK SC" w:hAnsi="Noto Sans CJK SC" w:eastAsia="Noto Sans CJK SC"/>
        </w:rPr>
        <w:t>7.3 网络边界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默认 bind=127.0.0.1；拒绝 0.0.0.0，除非用户显式启用高级模式。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Provider base_url 必须匹配用户级白名单和 HTTPS；本地模型可单独允许 HTTP 回环地址。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禁止网关自动跟随到不受信域名的认证重定向。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余额与模型发现请求使用独立超时和连接池。</w:t>
      </w:r>
    </w:p>
    <w:p>
      <w:pPr>
        <w:pStyle w:val="Heading2"/>
      </w:pPr>
      <w:r>
        <w:rPr>
          <w:rFonts w:ascii="Noto Sans CJK SC" w:hAnsi="Noto Sans CJK SC" w:eastAsia="Noto Sans CJK SC"/>
        </w:rPr>
        <w:t>7.4 项目数据路由策略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项目级数据路由策略（存于用户级配置）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[project_policies."E:/Projects/private-finance"]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allowed_providers = ["openai"]         # 私密项目只允许 OpenAI 原生域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allow_images = false                    # 禁止发送图片输入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allow_auto_fallback = false             # 禁止自动切换来源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[project_policies."E:/Projects/course-lab"]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allowed_providers = ["deepseek", "kimi"]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allow_images = true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allow_auto_fallback = false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7.5 UI 安全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CECEC"/>
            <w:tcBorders>
              <w:top w:val="single" w:sz="8" w:color="A94442"/>
              <w:left w:val="single" w:sz="18" w:color="A94442"/>
              <w:bottom w:val="single" w:sz="4" w:color="A94442"/>
              <w:right w:val="single" w:sz="4" w:color="A94442"/>
            </w:tcBorders>
            <w:tcMar>
              <w:top w:w="110" w:type="dxa"/>
              <w:start w:w="150" w:type="dxa"/>
              <w:bottom w:w="110" w:type="dxa"/>
              <w:end w:w="150" w:type="dxa"/>
            </w:tcMar>
          </w:tcPr>
          <w:p>
            <w:r>
              <w:rPr>
                <w:rFonts w:ascii="Noto Sans CJK SC" w:hAnsi="Noto Sans CJK SC" w:eastAsia="Noto Sans CJK SC"/>
                <w:b/>
                <w:color w:val="A94442"/>
                <w:sz w:val="19"/>
              </w:rPr>
              <w:t>禁止事项：</w:t>
            </w:r>
            <w:r>
              <w:rPr>
                <w:rFonts w:ascii="Noto Sans CJK SC" w:hAnsi="Noto Sans CJK SC" w:eastAsia="Noto Sans CJK SC"/>
                <w:color w:val="20272E"/>
                <w:sz w:val="19"/>
              </w:rPr>
              <w:t>不得在注入脚本、主题 ZIP、DOM 属性、localStorage、截图文件名或前端日志中保存第三方 Key。</w:t>
            </w:r>
          </w:p>
        </w:tc>
      </w:tr>
    </w:tbl>
    <w:p>
      <w:pPr>
        <w:widowControl/>
        <w:spacing w:after="0"/>
      </w:pP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CDP 只连接回环地址，并验证 Browser ID、Target ID、可见窗口和目标进程。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UI 控制操作使用一次性 token 与 CSRF 风格 nonce。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状态面板显示的是网关返回的来源 ID，而不是通过 DOM 猜测。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恢复官方外观应停止注入进程并清理覆盖层，不修改官方文件。</w:t>
      </w:r>
    </w:p>
    <w:p>
      <w:pPr>
        <w:widowControl/>
      </w:pPr>
      <w:r>
        <w:rPr>
          <w:rFonts w:ascii="Noto Sans CJK SC" w:hAnsi="Noto Sans CJK SC" w:eastAsia="Noto Sans CJK SC"/>
        </w:rPr>
        <w:br w:type="page"/>
      </w:r>
    </w:p>
    <w:p>
      <w:bookmarkStart w:id="80" w:name="sec8"/>
      <w:pPr>
        <w:pStyle w:val="Heading1"/>
      </w:pPr>
      <w:r>
        <w:rPr>
          <w:rFonts w:ascii="Noto Sans CJK SC" w:hAnsi="Noto Sans CJK SC" w:eastAsia="Noto Sans CJK SC"/>
        </w:rPr>
        <w:t>可靠性、性能与可观测性</w:t>
      </w:r>
      <w:bookmarkEnd w:id="80"/>
    </w:p>
    <w:p>
      <w:pPr>
        <w:pStyle w:val="Heading2"/>
      </w:pPr>
      <w:r>
        <w:rPr>
          <w:rFonts w:ascii="Noto Sans CJK SC" w:hAnsi="Noto Sans CJK SC" w:eastAsia="Noto Sans CJK SC"/>
        </w:rPr>
        <w:t>8.1 超时与重试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226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操作</w:t>
            </w:r>
          </w:p>
        </w:tc>
        <w:tc>
          <w:tcPr>
            <w:tcW w:type="dxa" w:w="1814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建议超时</w:t>
            </w:r>
          </w:p>
        </w:tc>
        <w:tc>
          <w:tcPr>
            <w:tcW w:type="dxa" w:w="5046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重试策略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模型发现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10 秒</w:t>
            </w:r>
          </w:p>
        </w:tc>
        <w:tc>
          <w:tcPr>
            <w:tcW w:type="dxa" w:w="504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失败后使用最近目录；后台下一次刷新。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余额查询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5 秒</w:t>
            </w:r>
          </w:p>
        </w:tc>
        <w:tc>
          <w:tcPr>
            <w:tcW w:type="dxa" w:w="504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最多 1 次短重试；保留过期缓存。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非流式推理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由模型配置</w:t>
            </w:r>
          </w:p>
        </w:tc>
        <w:tc>
          <w:tcPr>
            <w:tcW w:type="dxa" w:w="504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只对明确幂等且尚未收到输出的请求重试。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SSE 建连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30 秒</w:t>
            </w:r>
          </w:p>
        </w:tc>
        <w:tc>
          <w:tcPr>
            <w:tcW w:type="dxa" w:w="504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建连前可重试；收到事件后不盲目重放。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SSE 空闲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300 秒默认</w:t>
            </w:r>
          </w:p>
        </w:tc>
        <w:tc>
          <w:tcPr>
            <w:tcW w:type="dxa" w:w="504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识别 keep-alive；达到上限后返回可诊断错误。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工具轮次</w:t>
            </w:r>
          </w:p>
        </w:tc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随 Codex harness</w:t>
            </w:r>
          </w:p>
        </w:tc>
        <w:tc>
          <w:tcPr>
            <w:tcW w:type="dxa" w:w="504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工具已执行时不得重复执行副作用操作。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8.2 流式设计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优先把上游真实 token 流转换为 Responses SSE。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事件序列必须单调递增，completed 事件只发送一次。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工具参数流需要缓冲到合法 JSON 或以兼容事件分段输出。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上游只提供非流式结果时，可合成 SSE，但 UI 和日志标记 stream_mode=synthesized。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客户端断开时取消上游请求，避免继续扣费；若上游不支持取消，记录 orphan_request。</w:t>
      </w:r>
    </w:p>
    <w:p>
      <w:pPr>
        <w:pStyle w:val="Heading2"/>
      </w:pPr>
      <w:r>
        <w:rPr>
          <w:rFonts w:ascii="Noto Sans CJK SC" w:hAnsi="Noto Sans CJK SC" w:eastAsia="Noto Sans CJK SC"/>
        </w:rPr>
        <w:t>8.3 熔断与健康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1814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状态</w:t>
            </w:r>
          </w:p>
        </w:tc>
        <w:tc>
          <w:tcPr>
            <w:tcW w:type="dxa" w:w="3515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触发条件</w:t>
            </w:r>
          </w:p>
        </w:tc>
        <w:tc>
          <w:tcPr>
            <w:tcW w:type="dxa" w:w="379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行为</w:t>
            </w:r>
          </w:p>
        </w:tc>
      </w:tr>
      <w:tr>
        <w:trPr>
          <w:cantSplit/>
        </w:trPr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healthy</w:t>
            </w:r>
          </w:p>
        </w:tc>
        <w:tc>
          <w:tcPr>
            <w:tcW w:type="dxa" w:w="351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最近请求正常。</w:t>
            </w:r>
          </w:p>
        </w:tc>
        <w:tc>
          <w:tcPr>
            <w:tcW w:type="dxa" w:w="379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正常路由。</w:t>
            </w:r>
          </w:p>
        </w:tc>
      </w:tr>
      <w:tr>
        <w:trPr>
          <w:cantSplit/>
        </w:trPr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degraded</w:t>
            </w:r>
          </w:p>
        </w:tc>
        <w:tc>
          <w:tcPr>
            <w:tcW w:type="dxa" w:w="351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连续超时或高错误率。</w:t>
            </w:r>
          </w:p>
        </w:tc>
        <w:tc>
          <w:tcPr>
            <w:tcW w:type="dxa" w:w="379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显示警告，仍允许用户显式调用。</w:t>
            </w:r>
          </w:p>
        </w:tc>
      </w:tr>
      <w:tr>
        <w:trPr>
          <w:cantSplit/>
        </w:trPr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open</w:t>
            </w:r>
          </w:p>
        </w:tc>
        <w:tc>
          <w:tcPr>
            <w:tcW w:type="dxa" w:w="351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短窗口内连续失败达到阈值。</w:t>
            </w:r>
          </w:p>
        </w:tc>
        <w:tc>
          <w:tcPr>
            <w:tcW w:type="dxa" w:w="379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暂停自动请求，允许手动探测。</w:t>
            </w:r>
          </w:p>
        </w:tc>
      </w:tr>
      <w:tr>
        <w:trPr>
          <w:cantSplit/>
        </w:trPr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auth_error</w:t>
            </w:r>
          </w:p>
        </w:tc>
        <w:tc>
          <w:tcPr>
            <w:tcW w:type="dxa" w:w="351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401/403。</w:t>
            </w:r>
          </w:p>
        </w:tc>
        <w:tc>
          <w:tcPr>
            <w:tcW w:type="dxa" w:w="379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停止重试，要求更新凭据。</w:t>
            </w:r>
          </w:p>
        </w:tc>
      </w:tr>
      <w:tr>
        <w:trPr>
          <w:cantSplit/>
        </w:trPr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billing_error</w:t>
            </w:r>
          </w:p>
        </w:tc>
        <w:tc>
          <w:tcPr>
            <w:tcW w:type="dxa" w:w="351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402 或余额为零。</w:t>
            </w:r>
          </w:p>
        </w:tc>
        <w:tc>
          <w:tcPr>
            <w:tcW w:type="dxa" w:w="379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停止调用，提示充值或手动换来源。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8.4 日志分层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170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级别</w:t>
            </w:r>
          </w:p>
        </w:tc>
        <w:tc>
          <w:tcPr>
            <w:tcW w:type="dxa" w:w="5556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内容</w:t>
            </w:r>
          </w:p>
        </w:tc>
        <w:tc>
          <w:tcPr>
            <w:tcW w:type="dxa" w:w="187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是否默认持久化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Audit</w:t>
            </w:r>
          </w:p>
        </w:tc>
        <w:tc>
          <w:tcPr>
            <w:tcW w:type="dxa" w:w="555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配置变更、来源切换、凭据项创建/删除，不含密钥。</w:t>
            </w:r>
          </w:p>
        </w:tc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是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Request</w:t>
            </w:r>
          </w:p>
        </w:tc>
        <w:tc>
          <w:tcPr>
            <w:tcW w:type="dxa" w:w="555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trace_id、模型、耗时、状态、Token、工具数量。</w:t>
            </w:r>
          </w:p>
        </w:tc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是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Debug</w:t>
            </w:r>
          </w:p>
        </w:tc>
        <w:tc>
          <w:tcPr>
            <w:tcW w:type="dxa" w:w="555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转换阶段、事件类型和字段摘要。</w:t>
            </w:r>
          </w:p>
        </w:tc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短期、可开关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Body Trace</w:t>
            </w:r>
          </w:p>
        </w:tc>
        <w:tc>
          <w:tcPr>
            <w:tcW w:type="dxa" w:w="555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完整请求/响应正文。</w:t>
            </w:r>
          </w:p>
        </w:tc>
        <w:tc>
          <w:tcPr>
            <w:tcW w:type="dxa" w:w="187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默认关闭；仅本地临时排障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8.5 性能目标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tblHeader w:val="true"/>
          <w:cantSplit/>
        </w:trPr>
        <w:tc>
          <w:tcPr>
            <w:tcW w:type="dxa" w:w="3402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指标</w:t>
            </w:r>
          </w:p>
        </w:tc>
        <w:tc>
          <w:tcPr>
            <w:tcW w:type="dxa" w:w="5726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MVP 目标</w:t>
            </w:r>
          </w:p>
        </w:tc>
      </w:tr>
      <w:tr>
        <w:trPr>
          <w:cantSplit/>
        </w:trPr>
        <w:tc>
          <w:tcPr>
            <w:tcW w:type="dxa" w:w="34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网关内部首包额外延迟</w:t>
            </w:r>
          </w:p>
        </w:tc>
        <w:tc>
          <w:tcPr>
            <w:tcW w:type="dxa" w:w="572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&lt; 100 ms，不含上游网络和推理。</w:t>
            </w:r>
          </w:p>
        </w:tc>
      </w:tr>
      <w:tr>
        <w:trPr>
          <w:cantSplit/>
        </w:trPr>
        <w:tc>
          <w:tcPr>
            <w:tcW w:type="dxa" w:w="34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普通事件转换吞吐</w:t>
            </w:r>
          </w:p>
        </w:tc>
        <w:tc>
          <w:tcPr>
            <w:tcW w:type="dxa" w:w="572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单实例满足本机 10 个并发会话。</w:t>
            </w:r>
          </w:p>
        </w:tc>
      </w:tr>
      <w:tr>
        <w:trPr>
          <w:cantSplit/>
        </w:trPr>
        <w:tc>
          <w:tcPr>
            <w:tcW w:type="dxa" w:w="34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余额状态读取</w:t>
            </w:r>
          </w:p>
        </w:tc>
        <w:tc>
          <w:tcPr>
            <w:tcW w:type="dxa" w:w="572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缓存命中 &lt; 20 ms。</w:t>
            </w:r>
          </w:p>
        </w:tc>
      </w:tr>
      <w:tr>
        <w:trPr>
          <w:cantSplit/>
        </w:trPr>
        <w:tc>
          <w:tcPr>
            <w:tcW w:type="dxa" w:w="34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配置解释</w:t>
            </w:r>
          </w:p>
        </w:tc>
        <w:tc>
          <w:tcPr>
            <w:tcW w:type="dxa" w:w="572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&lt; 500 ms。</w:t>
            </w:r>
          </w:p>
        </w:tc>
      </w:tr>
      <w:tr>
        <w:trPr>
          <w:cantSplit/>
        </w:trPr>
        <w:tc>
          <w:tcPr>
            <w:tcW w:type="dxa" w:w="34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启动器冷启动</w:t>
            </w:r>
          </w:p>
        </w:tc>
        <w:tc>
          <w:tcPr>
            <w:tcW w:type="dxa" w:w="5726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&lt; 2 秒，不含 Codex 启动。</w:t>
            </w:r>
          </w:p>
        </w:tc>
      </w:tr>
    </w:tbl>
    <w:p>
      <w:pPr>
        <w:widowControl/>
        <w:spacing w:after="0"/>
      </w:pPr>
    </w:p>
    <w:p>
      <w:pPr>
        <w:widowControl/>
      </w:pPr>
      <w:r>
        <w:rPr>
          <w:rFonts w:ascii="Noto Sans CJK SC" w:hAnsi="Noto Sans CJK SC" w:eastAsia="Noto Sans CJK SC"/>
        </w:rPr>
        <w:br w:type="page"/>
      </w:r>
    </w:p>
    <w:p>
      <w:bookmarkStart w:id="90" w:name="sec9"/>
      <w:pPr>
        <w:pStyle w:val="Heading1"/>
      </w:pPr>
      <w:r>
        <w:rPr>
          <w:rFonts w:ascii="Noto Sans CJK SC" w:hAnsi="Noto Sans CJK SC" w:eastAsia="Noto Sans CJK SC"/>
        </w:rPr>
        <w:t>测试与验收方案</w:t>
      </w:r>
      <w:bookmarkEnd w:id="90"/>
    </w:p>
    <w:p>
      <w:pPr>
        <w:pStyle w:val="Heading2"/>
      </w:pPr>
      <w:r>
        <w:rPr>
          <w:rFonts w:ascii="Noto Sans CJK SC" w:hAnsi="Noto Sans CJK SC" w:eastAsia="Noto Sans CJK SC"/>
        </w:rPr>
        <w:t>9.1 测试层级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170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层级</w:t>
            </w:r>
          </w:p>
        </w:tc>
        <w:tc>
          <w:tcPr>
            <w:tcW w:type="dxa" w:w="328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对象</w:t>
            </w:r>
          </w:p>
        </w:tc>
        <w:tc>
          <w:tcPr>
            <w:tcW w:type="dxa" w:w="4139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方法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单元测试</w:t>
            </w:r>
          </w:p>
        </w:tc>
        <w:tc>
          <w:tcPr>
            <w:tcW w:type="dxa" w:w="328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IR、映射、错误、配置 Schema。</w:t>
            </w:r>
          </w:p>
        </w:tc>
        <w:tc>
          <w:tcPr>
            <w:tcW w:type="dxa" w:w="413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固定输入输出，覆盖边界字段。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协议契约测试</w:t>
            </w:r>
          </w:p>
        </w:tc>
        <w:tc>
          <w:tcPr>
            <w:tcW w:type="dxa" w:w="328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Responses ↔ Chat/Anthropic。</w:t>
            </w:r>
          </w:p>
        </w:tc>
        <w:tc>
          <w:tcPr>
            <w:tcW w:type="dxa" w:w="413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录制匿名 fixture，验证事件序列。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Provider 集成测试</w:t>
            </w:r>
          </w:p>
        </w:tc>
        <w:tc>
          <w:tcPr>
            <w:tcW w:type="dxa" w:w="328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DeepSeek、Kimi 认证、模型、余额。</w:t>
            </w:r>
          </w:p>
        </w:tc>
        <w:tc>
          <w:tcPr>
            <w:tcW w:type="dxa" w:w="413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使用低成本测试请求和环境密钥。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Codex 集成测试</w:t>
            </w:r>
          </w:p>
        </w:tc>
        <w:tc>
          <w:tcPr>
            <w:tcW w:type="dxa" w:w="328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profiles、模型目录、CLI、app-server。</w:t>
            </w:r>
          </w:p>
        </w:tc>
        <w:tc>
          <w:tcPr>
            <w:tcW w:type="dxa" w:w="413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真实 Codex 版本矩阵。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Harness E2E</w:t>
            </w:r>
          </w:p>
        </w:tc>
        <w:tc>
          <w:tcPr>
            <w:tcW w:type="dxa" w:w="328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Shell、apply_patch、Git、审批、取消。</w:t>
            </w:r>
          </w:p>
        </w:tc>
        <w:tc>
          <w:tcPr>
            <w:tcW w:type="dxa" w:w="413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临时仓库和可回滚任务。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UI 回归</w:t>
            </w:r>
          </w:p>
        </w:tc>
        <w:tc>
          <w:tcPr>
            <w:tcW w:type="dxa" w:w="328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选择器、状态面板、暂停恢复。</w:t>
            </w:r>
          </w:p>
        </w:tc>
        <w:tc>
          <w:tcPr>
            <w:tcW w:type="dxa" w:w="413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截图与 DOM 契约测试。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安全测试</w:t>
            </w:r>
          </w:p>
        </w:tc>
        <w:tc>
          <w:tcPr>
            <w:tcW w:type="dxa" w:w="328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回环认证、日志脱敏、项目策略。</w:t>
            </w:r>
          </w:p>
        </w:tc>
        <w:tc>
          <w:tcPr>
            <w:tcW w:type="dxa" w:w="4139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负向请求和 secret scanning。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9.2 核心 E2E 用例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1134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用例</w:t>
            </w:r>
          </w:p>
        </w:tc>
        <w:tc>
          <w:tcPr>
            <w:tcW w:type="dxa" w:w="289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场景</w:t>
            </w:r>
          </w:p>
        </w:tc>
        <w:tc>
          <w:tcPr>
            <w:tcW w:type="dxa" w:w="5102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通过条件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E2E-01</w:t>
            </w:r>
          </w:p>
        </w:tc>
        <w:tc>
          <w:tcPr>
            <w:tcW w:type="dxa" w:w="289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文本问答</w:t>
            </w:r>
          </w:p>
        </w:tc>
        <w:tc>
          <w:tcPr>
            <w:tcW w:type="dxa" w:w="51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DeepSeek/Kimi 返回完整 Responses 文本事件。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E2E-02</w:t>
            </w:r>
          </w:p>
        </w:tc>
        <w:tc>
          <w:tcPr>
            <w:tcW w:type="dxa" w:w="289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Shell 工具</w:t>
            </w:r>
          </w:p>
        </w:tc>
        <w:tc>
          <w:tcPr>
            <w:tcW w:type="dxa" w:w="51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模型请求执行只读命令，Codex harness 执行并返回结果。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E2E-03</w:t>
            </w:r>
          </w:p>
        </w:tc>
        <w:tc>
          <w:tcPr>
            <w:tcW w:type="dxa" w:w="289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apply_patch</w:t>
            </w:r>
          </w:p>
        </w:tc>
        <w:tc>
          <w:tcPr>
            <w:tcW w:type="dxa" w:w="51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模型生成补丁，文件修改正确且可通过 Git diff 验证。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E2E-04</w:t>
            </w:r>
          </w:p>
        </w:tc>
        <w:tc>
          <w:tcPr>
            <w:tcW w:type="dxa" w:w="289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多轮工具</w:t>
            </w:r>
          </w:p>
        </w:tc>
        <w:tc>
          <w:tcPr>
            <w:tcW w:type="dxa" w:w="51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至少两次工具调用后生成最终回答。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E2E-05</w:t>
            </w:r>
          </w:p>
        </w:tc>
        <w:tc>
          <w:tcPr>
            <w:tcW w:type="dxa" w:w="289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流式工具参数</w:t>
            </w:r>
          </w:p>
        </w:tc>
        <w:tc>
          <w:tcPr>
            <w:tcW w:type="dxa" w:w="51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工具 JSON 参数能够完整重组。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E2E-06</w:t>
            </w:r>
          </w:p>
        </w:tc>
        <w:tc>
          <w:tcPr>
            <w:tcW w:type="dxa" w:w="289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取消请求</w:t>
            </w:r>
          </w:p>
        </w:tc>
        <w:tc>
          <w:tcPr>
            <w:tcW w:type="dxa" w:w="51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客户端断开后上游尽快停止或记录不可取消状态。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E2E-07</w:t>
            </w:r>
          </w:p>
        </w:tc>
        <w:tc>
          <w:tcPr>
            <w:tcW w:type="dxa" w:w="289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余额不足</w:t>
            </w:r>
          </w:p>
        </w:tc>
        <w:tc>
          <w:tcPr>
            <w:tcW w:type="dxa" w:w="51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返回统一 billing_error，不自动切换来源。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E2E-08</w:t>
            </w:r>
          </w:p>
        </w:tc>
        <w:tc>
          <w:tcPr>
            <w:tcW w:type="dxa" w:w="289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模型不支持工具</w:t>
            </w:r>
          </w:p>
        </w:tc>
        <w:tc>
          <w:tcPr>
            <w:tcW w:type="dxa" w:w="51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请求前明确拒绝并提示可用模型。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E2E-09</w:t>
            </w:r>
          </w:p>
        </w:tc>
        <w:tc>
          <w:tcPr>
            <w:tcW w:type="dxa" w:w="289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项目切换来源</w:t>
            </w:r>
          </w:p>
        </w:tc>
        <w:tc>
          <w:tcPr>
            <w:tcW w:type="dxa" w:w="51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生成 Handoff 并在新线程正确继续。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E2E-10</w:t>
            </w:r>
          </w:p>
        </w:tc>
        <w:tc>
          <w:tcPr>
            <w:tcW w:type="dxa" w:w="289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UI 回滚</w:t>
            </w:r>
          </w:p>
        </w:tc>
        <w:tc>
          <w:tcPr>
            <w:tcW w:type="dxa" w:w="5102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停止覆盖层后官方 Codex 正常使用。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9.3 Provider 兼容性矩阵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972"/>
        <w:gridCol w:w="1972"/>
        <w:gridCol w:w="1972"/>
        <w:gridCol w:w="1972"/>
        <w:gridCol w:w="1972"/>
      </w:tblGrid>
      <w:tr>
        <w:trPr>
          <w:tblHeader w:val="true"/>
          <w:cantSplit/>
        </w:trPr>
        <w:tc>
          <w:tcPr>
            <w:tcW w:type="dxa" w:w="1814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能力</w:t>
            </w:r>
          </w:p>
        </w:tc>
        <w:tc>
          <w:tcPr>
            <w:tcW w:type="dxa" w:w="170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OpenAI 原生</w:t>
            </w:r>
          </w:p>
        </w:tc>
        <w:tc>
          <w:tcPr>
            <w:tcW w:type="dxa" w:w="170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DeepSeek</w:t>
            </w:r>
          </w:p>
        </w:tc>
        <w:tc>
          <w:tcPr>
            <w:tcW w:type="dxa" w:w="170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Kimi</w:t>
            </w:r>
          </w:p>
        </w:tc>
        <w:tc>
          <w:tcPr>
            <w:tcW w:type="dxa" w:w="221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验收方式</w:t>
            </w:r>
          </w:p>
        </w:tc>
      </w:tr>
      <w:tr>
        <w:trPr>
          <w:cantSplit/>
        </w:trPr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文本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原生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适配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适配</w:t>
            </w:r>
          </w:p>
        </w:tc>
        <w:tc>
          <w:tcPr>
            <w:tcW w:type="dxa" w:w="221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基础响应测试</w:t>
            </w:r>
          </w:p>
        </w:tc>
      </w:tr>
      <w:tr>
        <w:trPr>
          <w:cantSplit/>
        </w:trPr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SSE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原生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转换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转换</w:t>
            </w:r>
          </w:p>
        </w:tc>
        <w:tc>
          <w:tcPr>
            <w:tcW w:type="dxa" w:w="221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事件序列测试</w:t>
            </w:r>
          </w:p>
        </w:tc>
      </w:tr>
      <w:tr>
        <w:trPr>
          <w:cantSplit/>
        </w:trPr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function tools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原生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适配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适配</w:t>
            </w:r>
          </w:p>
        </w:tc>
        <w:tc>
          <w:tcPr>
            <w:tcW w:type="dxa" w:w="221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工具调用 E2E</w:t>
            </w:r>
          </w:p>
        </w:tc>
      </w:tr>
      <w:tr>
        <w:trPr>
          <w:cantSplit/>
        </w:trPr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freeform/apply_patch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原生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函数包装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函数包装</w:t>
            </w:r>
          </w:p>
        </w:tc>
        <w:tc>
          <w:tcPr>
            <w:tcW w:type="dxa" w:w="221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补丁任务</w:t>
            </w:r>
          </w:p>
        </w:tc>
      </w:tr>
      <w:tr>
        <w:trPr>
          <w:cantSplit/>
        </w:trPr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reasoning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原生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专有映射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专有映射</w:t>
            </w:r>
          </w:p>
        </w:tc>
        <w:tc>
          <w:tcPr>
            <w:tcW w:type="dxa" w:w="221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多轮工具与回放</w:t>
            </w:r>
          </w:p>
        </w:tc>
      </w:tr>
      <w:tr>
        <w:trPr>
          <w:cantSplit/>
        </w:trPr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余额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产品内状态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官方余额 API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官方余额 API</w:t>
            </w:r>
          </w:p>
        </w:tc>
        <w:tc>
          <w:tcPr>
            <w:tcW w:type="dxa" w:w="221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账户驱动测试</w:t>
            </w:r>
          </w:p>
        </w:tc>
      </w:tr>
      <w:tr>
        <w:trPr>
          <w:cantSplit/>
        </w:trPr>
        <w:tc>
          <w:tcPr>
            <w:tcW w:type="dxa" w:w="181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跨域会话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同域原生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Handoff</w:t>
            </w:r>
          </w:p>
        </w:tc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Handoff</w:t>
            </w:r>
          </w:p>
        </w:tc>
        <w:tc>
          <w:tcPr>
            <w:tcW w:type="dxa" w:w="221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项目连续性测试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9.4 验收门槛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P0 功能需求全部通过；P1 功能可按里程碑分阶段交付。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DeepSeek 和 Kimi 各自至少通过 20 次工具调用回归，无工具 ID 丢失或重复副作用。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敏感信息扫描不发现 API Key、Authorization 头或 ChatGPT 凭据。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Codex 原生 OpenAI profile 在安装、停用和卸载网关后均能正常工作。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文档、配置 Schema、回滚脚本和 doctor 诊断与代码同时发布。</w:t>
      </w:r>
    </w:p>
    <w:p>
      <w:pPr>
        <w:widowControl/>
      </w:pPr>
      <w:r>
        <w:rPr>
          <w:rFonts w:ascii="Noto Sans CJK SC" w:hAnsi="Noto Sans CJK SC" w:eastAsia="Noto Sans CJK SC"/>
        </w:rPr>
        <w:br w:type="page"/>
      </w:r>
    </w:p>
    <w:p>
      <w:bookmarkStart w:id="100" w:name="sec10"/>
      <w:pPr>
        <w:pStyle w:val="Heading1"/>
      </w:pPr>
      <w:r>
        <w:rPr>
          <w:rFonts w:ascii="Noto Sans CJK SC" w:hAnsi="Noto Sans CJK SC" w:eastAsia="Noto Sans CJK SC"/>
        </w:rPr>
        <w:t>部署、运维与回滚</w:t>
      </w:r>
      <w:bookmarkEnd w:id="100"/>
    </w:p>
    <w:p>
      <w:pPr>
        <w:pStyle w:val="Heading2"/>
      </w:pPr>
      <w:r>
        <w:rPr>
          <w:rFonts w:ascii="Noto Sans CJK SC" w:hAnsi="Noto Sans CJK SC" w:eastAsia="Noto Sans CJK SC"/>
        </w:rPr>
        <w:t>10.1 Windows 部署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1. </w:t>
      </w:r>
      <w:r>
        <w:rPr>
          <w:rFonts w:ascii="Noto Sans CJK SC" w:hAnsi="Noto Sans CJK SC" w:eastAsia="Noto Sans CJK SC"/>
          <w:sz w:val="20"/>
        </w:rPr>
        <w:t>安装网关可执行文件或通过 uv 安装受锁定版本。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2. </w:t>
      </w:r>
      <w:r>
        <w:rPr>
          <w:rFonts w:ascii="Noto Sans CJK SC" w:hAnsi="Noto Sans CJK SC" w:eastAsia="Noto Sans CJK SC"/>
          <w:sz w:val="20"/>
        </w:rPr>
        <w:t>初始化 %LOCALAPPDATA%\CodexMultiProvider，并生成本地网关令牌。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3. </w:t>
      </w:r>
      <w:r>
        <w:rPr>
          <w:rFonts w:ascii="Noto Sans CJK SC" w:hAnsi="Noto Sans CJK SC" w:eastAsia="Noto Sans CJK SC"/>
          <w:sz w:val="20"/>
        </w:rPr>
        <w:t>通过 Credential Manager 写入 DeepSeek 和 Kimi Key。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4. </w:t>
      </w:r>
      <w:r>
        <w:rPr>
          <w:rFonts w:ascii="Noto Sans CJK SC" w:hAnsi="Noto Sans CJK SC" w:eastAsia="Noto Sans CJK SC"/>
          <w:sz w:val="20"/>
        </w:rPr>
        <w:t>备份 ~/.codex/config.toml，添加 multi_gateway Provider 与 profile 文件。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5. </w:t>
      </w:r>
      <w:r>
        <w:rPr>
          <w:rFonts w:ascii="Noto Sans CJK SC" w:hAnsi="Noto Sans CJK SC" w:eastAsia="Noto Sans CJK SC"/>
          <w:sz w:val="20"/>
        </w:rPr>
        <w:t>启动用户级后台服务并执行 cmp doctor。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6. </w:t>
      </w:r>
      <w:r>
        <w:rPr>
          <w:rFonts w:ascii="Noto Sans CJK SC" w:hAnsi="Noto Sans CJK SC" w:eastAsia="Noto Sans CJK SC"/>
          <w:sz w:val="20"/>
        </w:rPr>
        <w:t>完成 CLI 工具调用测试后，再选择安装 UI 覆盖层。</w:t>
      </w:r>
    </w:p>
    <w:p>
      <w:pPr>
        <w:pStyle w:val="Heading2"/>
      </w:pPr>
      <w:r>
        <w:rPr>
          <w:rFonts w:ascii="Noto Sans CJK SC" w:hAnsi="Noto Sans CJK SC" w:eastAsia="Noto Sans CJK SC"/>
        </w:rPr>
        <w:t>10.2 WSL/Linux 兼容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优先在调用 Codex 的同一环境启动网关，避免 Windows/WSL 回环地址差异。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若复用 Windows 网关，启动器探测 host.docker.internal、WSL 网关地址或镜像网络模式，并明确记录实际地址。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密钥使用 Linux Secret Service、pass 或受限环境变量文件，不复制 Windows Key 到仓库。</w:t>
      </w:r>
    </w:p>
    <w:p>
      <w:pPr>
        <w:pStyle w:val="Heading2"/>
      </w:pPr>
      <w:r>
        <w:rPr>
          <w:rFonts w:ascii="Noto Sans CJK SC" w:hAnsi="Noto Sans CJK SC" w:eastAsia="Noto Sans CJK SC"/>
        </w:rPr>
        <w:t>10.3 更新策略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网关版本、配置 Schema、Codex 版本和 fixture 版本独立记录。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升级前运行兼容性检查；若 Codex Responses 请求形态变化，先更新 fixture 和契约测试。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UI 覆盖层跟随 Codex Desktop 版本单独发布，失败不阻断网关升级。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模型目录可单独刷新，不要求升级网关核心。</w:t>
      </w:r>
    </w:p>
    <w:p>
      <w:pPr>
        <w:pStyle w:val="Heading2"/>
      </w:pPr>
      <w:r>
        <w:rPr>
          <w:rFonts w:ascii="Noto Sans CJK SC" w:hAnsi="Noto Sans CJK SC" w:eastAsia="Noto Sans CJK SC"/>
        </w:rPr>
        <w:t>10.4 回滚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回滚流程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 逻辑回滚顺序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cmp ui disable                         # 停止 CDP 注入并清理覆盖层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cmp gateway stop                       # 停止本地网关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cmp config restore --latest            # 恢复 Codex 配置备份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codex login status                     # 验证原生认证状态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codex --profile openai                  # 验证原生 OpenAI 路径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# 卸载时保留可选数据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cmp uninstall --keep-handoffs --keep-logs=false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10.5 日常运维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tblHeader w:val="true"/>
          <w:cantSplit/>
        </w:trPr>
        <w:tc>
          <w:tcPr>
            <w:tcW w:type="dxa" w:w="226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频率</w:t>
            </w:r>
          </w:p>
        </w:tc>
        <w:tc>
          <w:tcPr>
            <w:tcW w:type="dxa" w:w="6860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操作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每次 Codex 更新后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运行 doctor、文本、工具和 resume 冒烟测试。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每周或模型更新时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刷新 /models 与能力目录，检查废弃模型。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余额异常时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直接对比官方控制台；本地估算不作为账单依据。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排障时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短期开启 Debug；完成后关闭 Body Trace 并清理诊断包。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配置变更后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生成 config diff 和自动备份。</w:t>
            </w:r>
          </w:p>
        </w:tc>
      </w:tr>
    </w:tbl>
    <w:p>
      <w:pPr>
        <w:widowControl/>
        <w:spacing w:after="0"/>
      </w:pPr>
    </w:p>
    <w:p>
      <w:pPr>
        <w:widowControl/>
      </w:pPr>
      <w:r>
        <w:rPr>
          <w:rFonts w:ascii="Noto Sans CJK SC" w:hAnsi="Noto Sans CJK SC" w:eastAsia="Noto Sans CJK SC"/>
        </w:rPr>
        <w:br w:type="page"/>
      </w:r>
    </w:p>
    <w:p>
      <w:bookmarkStart w:id="110" w:name="sec11"/>
      <w:pPr>
        <w:pStyle w:val="Heading1"/>
      </w:pPr>
      <w:r>
        <w:rPr>
          <w:rFonts w:ascii="Noto Sans CJK SC" w:hAnsi="Noto Sans CJK SC" w:eastAsia="Noto Sans CJK SC"/>
        </w:rPr>
        <w:t>实施路线图</w:t>
      </w:r>
      <w:bookmarkEnd w:id="110"/>
    </w:p>
    <w:p>
      <w:pPr>
        <w:pStyle w:val="Heading2"/>
      </w:pPr>
      <w:r>
        <w:rPr>
          <w:rFonts w:ascii="Noto Sans CJK SC" w:hAnsi="Noto Sans CJK SC" w:eastAsia="Noto Sans CJK SC"/>
        </w:rPr>
        <w:t>11.1 阶段划分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170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里程碑</w:t>
            </w:r>
          </w:p>
        </w:tc>
        <w:tc>
          <w:tcPr>
            <w:tcW w:type="dxa" w:w="4195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工作范围</w:t>
            </w:r>
          </w:p>
        </w:tc>
        <w:tc>
          <w:tcPr>
            <w:tcW w:type="dxa" w:w="3231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交付结果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M0 研究与基线</w:t>
            </w:r>
          </w:p>
        </w:tc>
        <w:tc>
          <w:tcPr>
            <w:tcW w:type="dxa" w:w="419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Codex 请求录制、配置验证、协议 fixture、项目骨架。</w:t>
            </w:r>
          </w:p>
        </w:tc>
        <w:tc>
          <w:tcPr>
            <w:tcW w:type="dxa" w:w="323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可重复的最小 Responses 请求样本。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M1 网关 MVP</w:t>
            </w:r>
          </w:p>
        </w:tc>
        <w:tc>
          <w:tcPr>
            <w:tcW w:type="dxa" w:w="419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HTTP/SSE、Canonical IR、OpenAI Chat Adapter、配置 Schema。</w:t>
            </w:r>
          </w:p>
        </w:tc>
        <w:tc>
          <w:tcPr>
            <w:tcW w:type="dxa" w:w="323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文本请求可通过网关完成。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M2 双 Provider</w:t>
            </w:r>
          </w:p>
        </w:tc>
        <w:tc>
          <w:tcPr>
            <w:tcW w:type="dxa" w:w="419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DeepSeek、Kimi、模型发现、余额驱动。</w:t>
            </w:r>
          </w:p>
        </w:tc>
        <w:tc>
          <w:tcPr>
            <w:tcW w:type="dxa" w:w="323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两个 Provider 均完成文本和余额测试。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M3 Harness 兼容</w:t>
            </w:r>
          </w:p>
        </w:tc>
        <w:tc>
          <w:tcPr>
            <w:tcW w:type="dxa" w:w="419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function/freeform 工具、reasoning replay、取消和错误。</w:t>
            </w:r>
          </w:p>
        </w:tc>
        <w:tc>
          <w:tcPr>
            <w:tcW w:type="dxa" w:w="323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Shell 与 apply_patch E2E 通过。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M4 启动与会话</w:t>
            </w:r>
          </w:p>
        </w:tc>
        <w:tc>
          <w:tcPr>
            <w:tcW w:type="dxa" w:w="419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profile 生成、项目索引、Handoff、doctor。</w:t>
            </w:r>
          </w:p>
        </w:tc>
        <w:tc>
          <w:tcPr>
            <w:tcW w:type="dxa" w:w="323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一条命令切换并继续项目。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M5 UI 原型</w:t>
            </w:r>
          </w:p>
        </w:tc>
        <w:tc>
          <w:tcPr>
            <w:tcW w:type="dxa" w:w="419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CDP 状态面板、余额、模型选择、暂停恢复。</w:t>
            </w:r>
          </w:p>
        </w:tc>
        <w:tc>
          <w:tcPr>
            <w:tcW w:type="dxa" w:w="323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不改官方二进制的可选 UI。</w:t>
            </w:r>
          </w:p>
        </w:tc>
      </w:tr>
      <w:tr>
        <w:trPr>
          <w:cantSplit/>
        </w:trPr>
        <w:tc>
          <w:tcPr>
            <w:tcW w:type="dxa" w:w="170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M6 扩展生态</w:t>
            </w:r>
          </w:p>
        </w:tc>
        <w:tc>
          <w:tcPr>
            <w:tcW w:type="dxa" w:w="419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OpenRouter、本地模型、Anthropic Adapter、插件 SDK。</w:t>
            </w:r>
          </w:p>
        </w:tc>
        <w:tc>
          <w:tcPr>
            <w:tcW w:type="dxa" w:w="3231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新增 Provider 的文档化流程。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11.2 推荐首个开发迭代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1. </w:t>
      </w:r>
      <w:r>
        <w:rPr>
          <w:rFonts w:ascii="Noto Sans CJK SC" w:hAnsi="Noto Sans CJK SC" w:eastAsia="Noto Sans CJK SC"/>
          <w:sz w:val="20"/>
        </w:rPr>
        <w:t>创建仓库与 docs/architecture.md、schemas/、tests/fixtures/。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2. </w:t>
      </w:r>
      <w:r>
        <w:rPr>
          <w:rFonts w:ascii="Noto Sans CJK SC" w:hAnsi="Noto Sans CJK SC" w:eastAsia="Noto Sans CJK SC"/>
          <w:sz w:val="20"/>
        </w:rPr>
        <w:t>录制 Codex 对 /v1/responses 的最小文本、工具调用和流式请求。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3. </w:t>
      </w:r>
      <w:r>
        <w:rPr>
          <w:rFonts w:ascii="Noto Sans CJK SC" w:hAnsi="Noto Sans CJK SC" w:eastAsia="Noto Sans CJK SC"/>
          <w:sz w:val="20"/>
        </w:rPr>
        <w:t>实现 Canonical IR 与 OpenAI Chat Adapter 的纯函数转换。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4. </w:t>
      </w:r>
      <w:r>
        <w:rPr>
          <w:rFonts w:ascii="Noto Sans CJK SC" w:hAnsi="Noto Sans CJK SC" w:eastAsia="Noto Sans CJK SC"/>
          <w:sz w:val="20"/>
        </w:rPr>
        <w:t>实现 DeepSeekProvider 与 KimiProvider，但暂不做 UI。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5. </w:t>
      </w:r>
      <w:r>
        <w:rPr>
          <w:rFonts w:ascii="Noto Sans CJK SC" w:hAnsi="Noto Sans CJK SC" w:eastAsia="Noto Sans CJK SC"/>
          <w:sz w:val="20"/>
        </w:rPr>
        <w:t>建立临时 Git 仓库 E2E，验证 Shell 和 apply_patch。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6. </w:t>
      </w:r>
      <w:r>
        <w:rPr>
          <w:rFonts w:ascii="Noto Sans CJK SC" w:hAnsi="Noto Sans CJK SC" w:eastAsia="Noto Sans CJK SC"/>
          <w:sz w:val="20"/>
        </w:rPr>
        <w:t>实现 cmp doctor 与 config explain，形成可学习的配置报告。</w:t>
      </w:r>
    </w:p>
    <w:p>
      <w:pPr>
        <w:widowControl/>
        <w:spacing w:after="40"/>
        <w:ind w:left="397" w:hanging="283"/>
      </w:pPr>
      <w:r>
        <w:rPr>
          <w:rFonts w:ascii="Noto Sans CJK SC" w:hAnsi="Noto Sans CJK SC" w:eastAsia="Noto Sans CJK SC"/>
          <w:b/>
          <w:color w:val="19324D"/>
          <w:sz w:val="20"/>
        </w:rPr>
        <w:t xml:space="preserve">7. </w:t>
      </w:r>
      <w:r>
        <w:rPr>
          <w:rFonts w:ascii="Noto Sans CJK SC" w:hAnsi="Noto Sans CJK SC" w:eastAsia="Noto Sans CJK SC"/>
          <w:sz w:val="20"/>
        </w:rPr>
        <w:t>完成稳定性验证后再接入余额和 CDP 状态面板。</w:t>
      </w:r>
    </w:p>
    <w:p>
      <w:pPr>
        <w:pStyle w:val="Heading2"/>
      </w:pPr>
      <w:r>
        <w:rPr>
          <w:rFonts w:ascii="Noto Sans CJK SC" w:hAnsi="Noto Sans CJK SC" w:eastAsia="Noto Sans CJK SC"/>
        </w:rPr>
        <w:t>11.3 建议仓库结构</w:t>
      </w:r>
    </w:p>
    <w:p>
      <w:pPr>
        <w:widowControl/>
        <w:spacing w:after="60"/>
      </w:pPr>
      <w:r>
        <w:rPr>
          <w:rFonts w:ascii="Noto Sans CJK SC" w:hAnsi="Noto Sans CJK SC" w:eastAsia="Noto Sans CJK SC"/>
          <w:b/>
          <w:color w:val="5C6670"/>
          <w:sz w:val="18"/>
        </w:rPr>
        <w:t>建议仓库结构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F4F6F8"/>
            <w:tcBorders>
              <w:top w:val="single" w:sz="4" w:color="CBD3DA"/>
              <w:left w:val="single" w:sz="4" w:color="CBD3DA"/>
              <w:bottom w:val="single" w:sz="4" w:color="CBD3DA"/>
              <w:right w:val="single" w:sz="4" w:color="CBD3DA"/>
            </w:tcBorders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codex-multi-provider/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├─ pyproject.toml                       # 依赖与命令入口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├─ src/cmp_gateway/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api/                              # Responses 与内部 API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canonical/                        # 统一中间表示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adapters/                         # responses/chat/anthropic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providers/                        # deepseek/kimi/other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capabilities/                     # 模型能力目录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routing/                          # 显式路由与策略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sessions/                         # 项目索引与 Handoff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accounts/                         # 余额与使用量驱动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security/                         # 密钥、令牌和脱敏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└─ cli/                              # init/start/doctor/rollback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├─ ui-overlay/                          # 可选 CDP 覆盖层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├─ schemas/                             # TOML/JSON Schema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├─ tests/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fixtures/                         # 匿名协议样本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├─ contract/                         # 协议契约测试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│  └─ e2e/                              # Codex harness 测试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>└─ docs/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├─ architecture.md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├─ provider-development.md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├─ codex-config.md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├─ security.md</w:t>
            </w:r>
            <w:r>
              <w:br/>
            </w:r>
            <w:r>
              <w:rPr>
                <w:rFonts w:ascii="Noto Sans Mono CJK SC" w:hAnsi="Noto Sans Mono CJK SC" w:eastAsia="Noto Sans Mono CJK SC"/>
                <w:color w:val="263238"/>
                <w:sz w:val="16"/>
              </w:rPr>
              <w:t xml:space="preserve">   └─ troubleshooting.md</w:t>
            </w:r>
          </w:p>
        </w:tc>
      </w:tr>
    </w:tbl>
    <w:p>
      <w:pPr>
        <w:widowControl/>
        <w:spacing w:after="0"/>
      </w:pPr>
    </w:p>
    <w:p>
      <w:pPr>
        <w:widowControl/>
      </w:pPr>
      <w:r>
        <w:rPr>
          <w:rFonts w:ascii="Noto Sans CJK SC" w:hAnsi="Noto Sans CJK SC" w:eastAsia="Noto Sans CJK SC"/>
        </w:rPr>
        <w:br w:type="page"/>
      </w:r>
    </w:p>
    <w:p>
      <w:bookmarkStart w:id="120" w:name="sec12"/>
      <w:pPr>
        <w:pStyle w:val="Heading1"/>
      </w:pPr>
      <w:r>
        <w:rPr>
          <w:rFonts w:ascii="Noto Sans CJK SC" w:hAnsi="Noto Sans CJK SC" w:eastAsia="Noto Sans CJK SC"/>
        </w:rPr>
        <w:t>风险、限制与待决事项</w:t>
      </w:r>
      <w:bookmarkEnd w:id="120"/>
    </w:p>
    <w:p>
      <w:pPr>
        <w:pStyle w:val="Heading2"/>
      </w:pPr>
      <w:r>
        <w:rPr>
          <w:rFonts w:ascii="Noto Sans CJK SC" w:hAnsi="Noto Sans CJK SC" w:eastAsia="Noto Sans CJK SC"/>
        </w:rPr>
        <w:t>12.1 主要风险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65"/>
        <w:gridCol w:w="2465"/>
        <w:gridCol w:w="2465"/>
        <w:gridCol w:w="2465"/>
      </w:tblGrid>
      <w:tr>
        <w:trPr>
          <w:tblHeader w:val="true"/>
          <w:cantSplit/>
        </w:trPr>
        <w:tc>
          <w:tcPr>
            <w:tcW w:type="dxa" w:w="226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风险</w:t>
            </w:r>
          </w:p>
        </w:tc>
        <w:tc>
          <w:tcPr>
            <w:tcW w:type="dxa" w:w="2835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影响</w:t>
            </w:r>
          </w:p>
        </w:tc>
        <w:tc>
          <w:tcPr>
            <w:tcW w:type="dxa" w:w="1020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概率</w:t>
            </w:r>
          </w:p>
        </w:tc>
        <w:tc>
          <w:tcPr>
            <w:tcW w:type="dxa" w:w="3005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6"/>
              </w:rPr>
              <w:t>缓解措施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Codex Responses 请求格式更新</w:t>
            </w:r>
          </w:p>
        </w:tc>
        <w:tc>
          <w:tcPr>
            <w:tcW w:type="dxa" w:w="283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适配器失效或工具事件不兼容。</w:t>
            </w:r>
          </w:p>
        </w:tc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中</w:t>
            </w:r>
          </w:p>
        </w:tc>
        <w:tc>
          <w:tcPr>
            <w:tcW w:type="dxa" w:w="300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版本探测、录制 fixture、契约测试、快速回滚。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第三方工具调用语义不完整</w:t>
            </w:r>
          </w:p>
        </w:tc>
        <w:tc>
          <w:tcPr>
            <w:tcW w:type="dxa" w:w="283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apply_patch 或复杂工具链失败。</w:t>
            </w:r>
          </w:p>
        </w:tc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中高</w:t>
            </w:r>
          </w:p>
        </w:tc>
        <w:tc>
          <w:tcPr>
            <w:tcW w:type="dxa" w:w="300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能力分级、兼容模式、Provider 专项测试。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Desktop UI 结构变化</w:t>
            </w:r>
          </w:p>
        </w:tc>
        <w:tc>
          <w:tcPr>
            <w:tcW w:type="dxa" w:w="283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覆盖层失效。</w:t>
            </w:r>
          </w:p>
        </w:tc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高</w:t>
            </w:r>
          </w:p>
        </w:tc>
        <w:tc>
          <w:tcPr>
            <w:tcW w:type="dxa" w:w="300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UI 可选、选择器契约、CLI 不依赖 UI。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跨 Provider 原线程不兼容</w:t>
            </w:r>
          </w:p>
        </w:tc>
        <w:tc>
          <w:tcPr>
            <w:tcW w:type="dxa" w:w="283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会话恢复失败。</w:t>
            </w:r>
          </w:p>
        </w:tc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高</w:t>
            </w:r>
          </w:p>
        </w:tc>
        <w:tc>
          <w:tcPr>
            <w:tcW w:type="dxa" w:w="300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默认 Handoff，新线程继续；原线程标记实验。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余额接口或字段变化</w:t>
            </w:r>
          </w:p>
        </w:tc>
        <w:tc>
          <w:tcPr>
            <w:tcW w:type="dxa" w:w="283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状态面板错误。</w:t>
            </w:r>
          </w:p>
        </w:tc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中</w:t>
            </w:r>
          </w:p>
        </w:tc>
        <w:tc>
          <w:tcPr>
            <w:tcW w:type="dxa" w:w="300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AccountDriver 版本化、Schema 容错、官方控制台兜底。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自动路由导致隐私或费用问题</w:t>
            </w:r>
          </w:p>
        </w:tc>
        <w:tc>
          <w:tcPr>
            <w:tcW w:type="dxa" w:w="283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代码外发或意外扣费。</w:t>
            </w:r>
          </w:p>
        </w:tc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高</w:t>
            </w:r>
          </w:p>
        </w:tc>
        <w:tc>
          <w:tcPr>
            <w:tcW w:type="dxa" w:w="300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MVP 禁止自动跨来源；后续必须显式策略。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社区参考项目许可证或维护问题</w:t>
            </w:r>
          </w:p>
        </w:tc>
        <w:tc>
          <w:tcPr>
            <w:tcW w:type="dxa" w:w="283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不能直接复制代码或长期依赖。</w:t>
            </w:r>
          </w:p>
        </w:tc>
        <w:tc>
          <w:tcPr>
            <w:tcW w:type="dxa" w:w="102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中</w:t>
            </w:r>
          </w:p>
        </w:tc>
        <w:tc>
          <w:tcPr>
            <w:tcW w:type="dxa" w:w="300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6"/>
              </w:rPr>
              <w:t>只参考思路，自行实现；核查许可证。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12.2 已知限制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第三方模型即使支持工具调用，也不等同于完整支持 OpenAI Responses 的所有 Hosted Tools。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网关能够保持项目和任务连续性，但不能保证跨厂商隐藏推理状态无损延续。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ChatGPT Plus 权益与第三方 API 账户完全独立，统一 UI 只能展示状态，不能统一结算。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Codex Desktop 对自定义 Provider 的行为可能随版本变化，稳定自动化应以 CLI/App Server 明确参数为基础。</w:t>
      </w:r>
    </w:p>
    <w:p>
      <w:pPr>
        <w:pStyle w:val="ListBullet"/>
        <w:spacing w:after="40"/>
        <w:ind w:left="312" w:hanging="142"/>
      </w:pPr>
      <w:r>
        <w:rPr>
          <w:rFonts w:ascii="Noto Sans CJK SC" w:hAnsi="Noto Sans CJK SC" w:eastAsia="Noto Sans CJK SC"/>
          <w:sz w:val="20"/>
        </w:rPr>
        <w:t>CDP 注入属于非官方扩展方式，必须接受每次 Desktop 更新后重新验证。</w:t>
      </w:r>
    </w:p>
    <w:p>
      <w:pPr>
        <w:pStyle w:val="Heading2"/>
      </w:pPr>
      <w:r>
        <w:rPr>
          <w:rFonts w:ascii="Noto Sans CJK SC" w:hAnsi="Noto Sans CJK SC" w:eastAsia="Noto Sans CJK SC"/>
        </w:rPr>
        <w:t>12.3 待决事项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rPr>
          <w:tblHeader w:val="true"/>
          <w:cantSplit/>
        </w:trPr>
        <w:tc>
          <w:tcPr>
            <w:tcW w:type="dxa" w:w="1134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编号</w:t>
            </w:r>
          </w:p>
        </w:tc>
        <w:tc>
          <w:tcPr>
            <w:tcW w:type="dxa" w:w="4535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问题</w:t>
            </w:r>
          </w:p>
        </w:tc>
        <w:tc>
          <w:tcPr>
            <w:tcW w:type="dxa" w:w="345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建议默认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OQ-01</w:t>
            </w:r>
          </w:p>
        </w:tc>
        <w:tc>
          <w:tcPr>
            <w:tcW w:type="dxa" w:w="453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网关使用 Python/uv 还是 Rust 单文件？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MVP 使用 Python + uv；稳定后评估 Rust。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OQ-02</w:t>
            </w:r>
          </w:p>
        </w:tc>
        <w:tc>
          <w:tcPr>
            <w:tcW w:type="dxa" w:w="453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Windows 网关与 WSL 是否共用实例？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各环境独立实例，启动器可选复用。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OQ-03</w:t>
            </w:r>
          </w:p>
        </w:tc>
        <w:tc>
          <w:tcPr>
            <w:tcW w:type="dxa" w:w="453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UI 模型切换是否重启 Codex？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MVP 重启/新线程；App Server 稳定后支持热切换。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OQ-04</w:t>
            </w:r>
          </w:p>
        </w:tc>
        <w:tc>
          <w:tcPr>
            <w:tcW w:type="dxa" w:w="453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是否保存逐请求成本估算？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保存 usage，不默认显示人民币估算。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OQ-05</w:t>
            </w:r>
          </w:p>
        </w:tc>
        <w:tc>
          <w:tcPr>
            <w:tcW w:type="dxa" w:w="453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是否支持聚合平台自动回退？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首期不支持；后续显式策略与确认。</w:t>
            </w:r>
          </w:p>
        </w:tc>
      </w:tr>
      <w:tr>
        <w:trPr>
          <w:cantSplit/>
        </w:trPr>
        <w:tc>
          <w:tcPr>
            <w:tcW w:type="dxa" w:w="1134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OQ-06</w:t>
            </w:r>
          </w:p>
        </w:tc>
        <w:tc>
          <w:tcPr>
            <w:tcW w:type="dxa" w:w="4535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是否发布为公开开源项目？</w:t>
            </w:r>
          </w:p>
        </w:tc>
        <w:tc>
          <w:tcPr>
            <w:tcW w:type="dxa" w:w="345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先完成许可证审查和密钥安全审计。</w:t>
            </w:r>
          </w:p>
        </w:tc>
      </w:tr>
    </w:tbl>
    <w:p>
      <w:pPr>
        <w:widowControl/>
        <w:spacing w:after="0"/>
      </w:pPr>
    </w:p>
    <w:p>
      <w:pPr>
        <w:pStyle w:val="Heading2"/>
      </w:pPr>
      <w:r>
        <w:rPr>
          <w:rFonts w:ascii="Noto Sans CJK SC" w:hAnsi="Noto Sans CJK SC" w:eastAsia="Noto Sans CJK SC"/>
        </w:rPr>
        <w:t>12.4 建议结论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859"/>
      </w:tblGrid>
      <w:tr>
        <w:trPr>
          <w:cantSplit/>
          <w:tblHeader/>
        </w:trPr>
        <w:tc>
          <w:tcPr>
            <w:tcW w:type="dxa" w:w="9859"/>
            <w:shd w:fill="ECF8F2"/>
            <w:tcBorders>
              <w:top w:val="single" w:sz="8" w:color="2C7A5B"/>
              <w:left w:val="single" w:sz="18" w:color="2C7A5B"/>
              <w:bottom w:val="single" w:sz="4" w:color="2C7A5B"/>
              <w:right w:val="single" w:sz="4" w:color="2C7A5B"/>
            </w:tcBorders>
            <w:tcMar>
              <w:top w:w="110" w:type="dxa"/>
              <w:start w:w="150" w:type="dxa"/>
              <w:bottom w:w="110" w:type="dxa"/>
              <w:end w:w="150" w:type="dxa"/>
            </w:tcMar>
          </w:tcPr>
          <w:p>
            <w:r>
              <w:rPr>
                <w:rFonts w:ascii="Noto Sans CJK SC" w:hAnsi="Noto Sans CJK SC" w:eastAsia="Noto Sans CJK SC"/>
                <w:b/>
                <w:color w:val="2C7A5B"/>
                <w:sz w:val="19"/>
              </w:rPr>
              <w:t>推荐路径：</w:t>
            </w:r>
            <w:r>
              <w:rPr>
                <w:rFonts w:ascii="Noto Sans CJK SC" w:hAnsi="Noto Sans CJK SC" w:eastAsia="Noto Sans CJK SC"/>
                <w:color w:val="20272E"/>
                <w:sz w:val="19"/>
              </w:rPr>
              <w:t>先构建通用网关与双 Provider 工具调用 MVP，再加入会话管理和余额，最后实现 UI。不要从修改 Codex Desktop UI 或 app.asar 开始。</w:t>
            </w:r>
          </w:p>
        </w:tc>
      </w:tr>
    </w:tbl>
    <w:p>
      <w:pPr>
        <w:widowControl/>
        <w:spacing w:after="0"/>
      </w:pPr>
    </w:p>
    <w:p>
      <w:pPr>
        <w:widowControl/>
      </w:pPr>
      <w:r>
        <w:rPr>
          <w:rFonts w:ascii="Noto Sans CJK SC" w:hAnsi="Noto Sans CJK SC" w:eastAsia="Noto Sans CJK SC"/>
        </w:rPr>
        <w:br w:type="page"/>
      </w:r>
    </w:p>
    <w:p>
      <w:bookmarkStart w:id="130" w:name="appendix_a"/>
      <w:pPr>
        <w:pStyle w:val="Heading1"/>
      </w:pPr>
      <w:r>
        <w:rPr>
          <w:rFonts w:ascii="Noto Sans CJK SC" w:hAnsi="Noto Sans CJK SC" w:eastAsia="Noto Sans CJK SC"/>
        </w:rPr>
        <w:t>附录 A：术语表</w:t>
      </w:r>
      <w:bookmarkEnd w:id="130"/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tblHeader w:val="true"/>
          <w:cantSplit/>
        </w:trPr>
        <w:tc>
          <w:tcPr>
            <w:tcW w:type="dxa" w:w="2268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术语</w:t>
            </w:r>
          </w:p>
        </w:tc>
        <w:tc>
          <w:tcPr>
            <w:tcW w:type="dxa" w:w="6860"/>
            <w:vAlign w:val="center"/>
            <w:shd w:fill="19324D"/>
            <w:tcMar>
              <w:top w:w="85" w:type="dxa"/>
              <w:start w:w="95" w:type="dxa"/>
              <w:bottom w:w="85" w:type="dxa"/>
              <w:end w:w="95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定义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Codex harness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Codex 提供的项目上下文、沙箱、审批、Shell、补丁、Git 和工具执行体系。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Provider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模型服务来源及其认证、计费、模型发现和账户接口。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Protocol Adapter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Responses 与 Chat Completions、Anthropic Messages 等协议之间的转换器。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Canonical IR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网关内部统一的请求、消息、工具、事件和用量表示。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Logical Model ID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与上游具体型号解耦的模型标识，例如 kimi/default。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Handoff Snapshot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跨模型/Provider 继续任务时使用的中立项目状态摘要。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CDP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Chrome DevTools Protocol，用于在本机受限连接中操作渲染层。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SSE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  <w:shd w:fill="F8FAFB"/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Server-Sent Events，Responses 与 Chat API 常用的单向流式传输形式。</w:t>
            </w:r>
          </w:p>
        </w:tc>
      </w:tr>
      <w:tr>
        <w:trPr>
          <w:cantSplit/>
        </w:trPr>
        <w:tc>
          <w:tcPr>
            <w:tcW w:type="dxa" w:w="2268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freeform tool</w:t>
            </w:r>
          </w:p>
        </w:tc>
        <w:tc>
          <w:tcPr>
            <w:tcW w:type="dxa" w:w="6860"/>
            <w:vAlign w:val="top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spacing w:after="0"/>
            </w:pPr>
            <w:r>
              <w:rPr>
                <w:rFonts w:ascii="Noto Sans CJK SC" w:hAnsi="Noto Sans CJK SC" w:eastAsia="Noto Sans CJK SC"/>
                <w:color w:val="20272E"/>
                <w:sz w:val="17"/>
              </w:rPr>
              <w:t>参数不是固定 JSON Schema 的自由格式工具，如 Codex apply_patch。</w:t>
            </w:r>
          </w:p>
        </w:tc>
      </w:tr>
    </w:tbl>
    <w:p>
      <w:pPr>
        <w:widowControl/>
        <w:spacing w:after="0"/>
      </w:pPr>
    </w:p>
    <w:p>
      <w:bookmarkStart w:id="140" w:name="appendix_b"/>
      <w:pPr>
        <w:pStyle w:val="Heading1"/>
      </w:pPr>
      <w:r>
        <w:rPr>
          <w:rFonts w:ascii="Noto Sans CJK SC" w:hAnsi="Noto Sans CJK SC" w:eastAsia="Noto Sans CJK SC"/>
        </w:rPr>
        <w:t>附录 B：设计基线与参考资料</w:t>
      </w:r>
      <w:bookmarkEnd w:id="140"/>
    </w:p>
    <w:p>
      <w:pPr>
        <w:pStyle w:val="SmallNote"/>
      </w:pPr>
      <w:r>
        <w:rPr>
          <w:rFonts w:ascii="Noto Sans CJK SC" w:hAnsi="Noto Sans CJK SC" w:eastAsia="Noto Sans CJK SC"/>
        </w:rPr>
        <w:t>说明：以下资料用于确认截至 2026-08-05 的配置和接口边界。模型名称、价格、限速和产品行为可能变化，实施时应再次核对官方文档。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5"/>
        <w:gridCol w:w="2465"/>
        <w:gridCol w:w="2465"/>
        <w:gridCol w:w="2465"/>
      </w:tblGrid>
      <w:tr>
        <w:trPr>
          <w:tblHeader w:val="true"/>
          <w:cantSplit/>
        </w:trPr>
        <w:tc>
          <w:tcPr>
            <w:tcW w:type="dxa" w:w="2465"/>
            <w:shd w:fill="19324D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编号</w:t>
            </w:r>
          </w:p>
        </w:tc>
        <w:tc>
          <w:tcPr>
            <w:tcW w:type="dxa" w:w="2465"/>
            <w:shd w:fill="19324D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资料</w:t>
            </w:r>
          </w:p>
        </w:tc>
        <w:tc>
          <w:tcPr>
            <w:tcW w:type="dxa" w:w="2465"/>
            <w:shd w:fill="19324D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链接</w:t>
            </w:r>
          </w:p>
        </w:tc>
        <w:tc>
          <w:tcPr>
            <w:tcW w:type="dxa" w:w="2465"/>
            <w:shd w:fill="19324D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pPr>
              <w:jc w:val="center"/>
            </w:pPr>
            <w:r>
              <w:rPr>
                <w:rFonts w:ascii="Noto Sans CJK SC" w:hAnsi="Noto Sans CJK SC" w:eastAsia="Noto Sans CJK SC"/>
                <w:b/>
                <w:color w:val="FFFFFF"/>
                <w:sz w:val="17"/>
              </w:rPr>
              <w:t>用途</w:t>
            </w:r>
          </w:p>
        </w:tc>
      </w:tr>
      <w:tr>
        <w:trPr>
          <w:cantSplit/>
        </w:trPr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rFonts w:ascii="Noto Sans CJK SC" w:hAnsi="Noto Sans CJK SC" w:eastAsia="Noto Sans CJK SC"/>
                <w:sz w:val="16"/>
              </w:rPr>
              <w:t>R1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rFonts w:ascii="Noto Sans CJK SC" w:hAnsi="Noto Sans CJK SC" w:eastAsia="Noto Sans CJK SC"/>
                <w:sz w:val="16"/>
              </w:rPr>
              <w:t>OpenAI / Codex Configuration Reference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hyperlink r:id="rId15">
              <w:r>
                <w:rPr>
                  <w:color w:val="2F6B9A"/>
                  <w:u w:val="single"/>
                  <w:rFonts w:eastAsia="Noto Sans CJK SC" w:ascii="Noto Sans CJK SC" w:hAnsi="Noto Sans CJK SC"/>
                </w:rPr>
                <w:t>打开官方资料</w:t>
              </w:r>
            </w:hyperlink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rFonts w:ascii="Noto Sans CJK SC" w:hAnsi="Noto Sans CJK SC" w:eastAsia="Noto Sans CJK SC"/>
                <w:sz w:val="16"/>
              </w:rPr>
              <w:t>确认用户级/项目级配置、profile 文件、history.persistence、credential store、model catalog，以及自定义 Provider 仅支持 responses wire API。</w:t>
            </w:r>
          </w:p>
        </w:tc>
      </w:tr>
      <w:tr>
        <w:trPr>
          <w:cantSplit/>
        </w:trPr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r>
              <w:rPr>
                <w:rFonts w:ascii="Noto Sans CJK SC" w:hAnsi="Noto Sans CJK SC" w:eastAsia="Noto Sans CJK SC"/>
                <w:sz w:val="16"/>
              </w:rPr>
              <w:t>R2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r>
              <w:rPr>
                <w:rFonts w:ascii="Noto Sans CJK SC" w:hAnsi="Noto Sans CJK SC" w:eastAsia="Noto Sans CJK SC"/>
                <w:sz w:val="16"/>
              </w:rPr>
              <w:t>OpenAI / Codex Authentication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hyperlink r:id="rId16">
              <w:r>
                <w:rPr>
                  <w:color w:val="2F6B9A"/>
                  <w:u w:val="single"/>
                  <w:rFonts w:eastAsia="Noto Sans CJK SC" w:ascii="Noto Sans CJK SC" w:hAnsi="Noto Sans CJK SC"/>
                </w:rPr>
                <w:t>打开官方资料</w:t>
              </w:r>
            </w:hyperlink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r>
              <w:rPr>
                <w:rFonts w:ascii="Noto Sans CJK SC" w:hAnsi="Noto Sans CJK SC" w:eastAsia="Noto Sans CJK SC"/>
                <w:sz w:val="16"/>
              </w:rPr>
              <w:t>确认 ChatGPT 订阅登录与 API Key 按量计费是两个认证与计费路径。</w:t>
            </w:r>
          </w:p>
        </w:tc>
      </w:tr>
      <w:tr>
        <w:trPr>
          <w:cantSplit/>
        </w:trPr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rFonts w:ascii="Noto Sans CJK SC" w:hAnsi="Noto Sans CJK SC" w:eastAsia="Noto Sans CJK SC"/>
                <w:sz w:val="16"/>
              </w:rPr>
              <w:t>R3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rFonts w:ascii="Noto Sans CJK SC" w:hAnsi="Noto Sans CJK SC" w:eastAsia="Noto Sans CJK SC"/>
                <w:sz w:val="16"/>
              </w:rPr>
              <w:t>DeepSeek API Docs / First API Call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hyperlink r:id="rId17">
              <w:r>
                <w:rPr>
                  <w:color w:val="2F6B9A"/>
                  <w:u w:val="single"/>
                  <w:rFonts w:eastAsia="Noto Sans CJK SC" w:ascii="Noto Sans CJK SC" w:hAnsi="Noto Sans CJK SC"/>
                </w:rPr>
                <w:t>打开官方资料</w:t>
              </w:r>
            </w:hyperlink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rFonts w:ascii="Noto Sans CJK SC" w:hAnsi="Noto Sans CJK SC" w:eastAsia="Noto Sans CJK SC"/>
                <w:sz w:val="16"/>
              </w:rPr>
              <w:t>确认 OpenAI SDK、Chat Completions 兼容和当前模型调用方式。</w:t>
            </w:r>
          </w:p>
        </w:tc>
      </w:tr>
      <w:tr>
        <w:trPr>
          <w:cantSplit/>
        </w:trPr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r>
              <w:rPr>
                <w:rFonts w:ascii="Noto Sans CJK SC" w:hAnsi="Noto Sans CJK SC" w:eastAsia="Noto Sans CJK SC"/>
                <w:sz w:val="16"/>
              </w:rPr>
              <w:t>R4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r>
              <w:rPr>
                <w:rFonts w:ascii="Noto Sans CJK SC" w:hAnsi="Noto Sans CJK SC" w:eastAsia="Noto Sans CJK SC"/>
                <w:sz w:val="16"/>
              </w:rPr>
              <w:t>DeepSeek API Docs / Get User Balance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hyperlink r:id="rId18">
              <w:r>
                <w:rPr>
                  <w:color w:val="2F6B9A"/>
                  <w:u w:val="single"/>
                  <w:rFonts w:eastAsia="Noto Sans CJK SC" w:ascii="Noto Sans CJK SC" w:hAnsi="Noto Sans CJK SC"/>
                </w:rPr>
                <w:t>打开官方资料</w:t>
              </w:r>
            </w:hyperlink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r>
              <w:rPr>
                <w:rFonts w:ascii="Noto Sans CJK SC" w:hAnsi="Noto Sans CJK SC" w:eastAsia="Noto Sans CJK SC"/>
                <w:sz w:val="16"/>
              </w:rPr>
              <w:t>确认 /user/balance 及余额字段。</w:t>
            </w:r>
          </w:p>
        </w:tc>
      </w:tr>
      <w:tr>
        <w:trPr>
          <w:cantSplit/>
        </w:trPr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rFonts w:ascii="Noto Sans CJK SC" w:hAnsi="Noto Sans CJK SC" w:eastAsia="Noto Sans CJK SC"/>
                <w:sz w:val="16"/>
              </w:rPr>
              <w:t>R5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rFonts w:ascii="Noto Sans CJK SC" w:hAnsi="Noto Sans CJK SC" w:eastAsia="Noto Sans CJK SC"/>
                <w:sz w:val="16"/>
              </w:rPr>
              <w:t>Kimi API / API Overview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hyperlink r:id="rId19">
              <w:r>
                <w:rPr>
                  <w:color w:val="2F6B9A"/>
                  <w:u w:val="single"/>
                  <w:rFonts w:eastAsia="Noto Sans CJK SC" w:ascii="Noto Sans CJK SC" w:hAnsi="Noto Sans CJK SC"/>
                </w:rPr>
                <w:t>打开官方资料</w:t>
              </w:r>
            </w:hyperlink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rFonts w:ascii="Noto Sans CJK SC" w:hAnsi="Noto Sans CJK SC" w:eastAsia="Noto Sans CJK SC"/>
                <w:sz w:val="16"/>
              </w:rPr>
              <w:t>确认 OpenAI Chat Completions 兼容、base URL、模型与余额端点。</w:t>
            </w:r>
          </w:p>
        </w:tc>
      </w:tr>
      <w:tr>
        <w:trPr>
          <w:cantSplit/>
        </w:trPr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r>
              <w:rPr>
                <w:rFonts w:ascii="Noto Sans CJK SC" w:hAnsi="Noto Sans CJK SC" w:eastAsia="Noto Sans CJK SC"/>
                <w:sz w:val="16"/>
              </w:rPr>
              <w:t>R6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r>
              <w:rPr>
                <w:rFonts w:ascii="Noto Sans CJK SC" w:hAnsi="Noto Sans CJK SC" w:eastAsia="Noto Sans CJK SC"/>
                <w:sz w:val="16"/>
              </w:rPr>
              <w:t>Kimi API / Query Balance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hyperlink r:id="rId20">
              <w:r>
                <w:rPr>
                  <w:color w:val="2F6B9A"/>
                  <w:u w:val="single"/>
                  <w:rFonts w:eastAsia="Noto Sans CJK SC" w:ascii="Noto Sans CJK SC" w:hAnsi="Noto Sans CJK SC"/>
                </w:rPr>
                <w:t>打开官方资料</w:t>
              </w:r>
            </w:hyperlink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r>
              <w:rPr>
                <w:rFonts w:ascii="Noto Sans CJK SC" w:hAnsi="Noto Sans CJK SC" w:eastAsia="Noto Sans CJK SC"/>
                <w:sz w:val="16"/>
              </w:rPr>
              <w:t>确认 /v1/users/me/balance 及余额字段。</w:t>
            </w:r>
          </w:p>
        </w:tc>
      </w:tr>
      <w:tr>
        <w:trPr>
          <w:cantSplit/>
        </w:trPr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rFonts w:ascii="Noto Sans CJK SC" w:hAnsi="Noto Sans CJK SC" w:eastAsia="Noto Sans CJK SC"/>
                <w:sz w:val="16"/>
              </w:rPr>
              <w:t>R7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rFonts w:ascii="Noto Sans CJK SC" w:hAnsi="Noto Sans CJK SC" w:eastAsia="Noto Sans CJK SC"/>
                <w:sz w:val="16"/>
              </w:rPr>
              <w:t>openai/codex Issue #23417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hyperlink r:id="rId21">
              <w:r>
                <w:rPr>
                  <w:color w:val="2F6B9A"/>
                  <w:u w:val="single"/>
                  <w:rFonts w:eastAsia="Noto Sans CJK SC" w:ascii="Noto Sans CJK SC" w:hAnsi="Noto Sans CJK SC"/>
                </w:rPr>
                <w:t>打开官方资料</w:t>
              </w:r>
            </w:hyperlink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rFonts w:ascii="Noto Sans CJK SC" w:hAnsi="Noto Sans CJK SC" w:eastAsia="Noto Sans CJK SC"/>
                <w:sz w:val="16"/>
              </w:rPr>
              <w:t>截至基线仍开放：app-server thread/start 可能不继承 profile 的 model_provider。</w:t>
            </w:r>
          </w:p>
        </w:tc>
      </w:tr>
      <w:tr>
        <w:trPr>
          <w:cantSplit/>
        </w:trPr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r>
              <w:rPr>
                <w:rFonts w:ascii="Noto Sans CJK SC" w:hAnsi="Noto Sans CJK SC" w:eastAsia="Noto Sans CJK SC"/>
                <w:sz w:val="16"/>
              </w:rPr>
              <w:t>R8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r>
              <w:rPr>
                <w:rFonts w:ascii="Noto Sans CJK SC" w:hAnsi="Noto Sans CJK SC" w:eastAsia="Noto Sans CJK SC"/>
                <w:sz w:val="16"/>
              </w:rPr>
              <w:t>openai/codex Issue #24648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hyperlink r:id="rId22">
              <w:r>
                <w:rPr>
                  <w:color w:val="2F6B9A"/>
                  <w:u w:val="single"/>
                  <w:rFonts w:eastAsia="Noto Sans CJK SC" w:ascii="Noto Sans CJK SC" w:hAnsi="Noto Sans CJK SC"/>
                </w:rPr>
                <w:t>打开官方资料</w:t>
              </w:r>
            </w:hyperlink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  <w:shd w:fill="F8FAFB"/>
          </w:tcPr>
          <w:p>
            <w:r>
              <w:rPr>
                <w:rFonts w:ascii="Noto Sans CJK SC" w:hAnsi="Noto Sans CJK SC" w:eastAsia="Noto Sans CJK SC"/>
                <w:sz w:val="16"/>
              </w:rPr>
              <w:t>截至基线仍开放：Desktop/thread list 在切换 Provider 后可能过滤其他 Provider 线程。</w:t>
            </w:r>
          </w:p>
        </w:tc>
      </w:tr>
      <w:tr>
        <w:trPr>
          <w:cantSplit/>
        </w:trPr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rFonts w:ascii="Noto Sans CJK SC" w:hAnsi="Noto Sans CJK SC" w:eastAsia="Noto Sans CJK SC"/>
                <w:sz w:val="16"/>
              </w:rPr>
              <w:t>R9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rFonts w:ascii="Noto Sans CJK SC" w:hAnsi="Noto Sans CJK SC" w:eastAsia="Noto Sans CJK SC"/>
                <w:sz w:val="16"/>
              </w:rPr>
              <w:t>Codex Dream Skin 参考项目</w:t>
            </w:r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hyperlink r:id="rId23">
              <w:r>
                <w:rPr>
                  <w:color w:val="2F6B9A"/>
                  <w:u w:val="single"/>
                  <w:rFonts w:eastAsia="Noto Sans CJK SC" w:ascii="Noto Sans CJK SC" w:hAnsi="Noto Sans CJK SC"/>
                </w:rPr>
                <w:t>打开官方资料</w:t>
              </w:r>
            </w:hyperlink>
          </w:p>
        </w:tc>
        <w:tc>
          <w:tcPr>
            <w:tcW w:type="dxa" w:w="2465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rFonts w:ascii="Noto Sans CJK SC" w:hAnsi="Noto Sans CJK SC" w:eastAsia="Noto Sans CJK SC"/>
                <w:sz w:val="16"/>
              </w:rPr>
              <w:t>参考本机回环 CDP、覆盖层、恢复机制和不修改官方二进制的思路。</w:t>
            </w:r>
          </w:p>
        </w:tc>
      </w:tr>
    </w:tbl>
    <w:p>
      <w:bookmarkStart w:id="150" w:name="appendix_c"/>
      <w:pPr>
        <w:pStyle w:val="Heading1"/>
      </w:pPr>
      <w:r>
        <w:rPr>
          <w:rFonts w:ascii="Noto Sans CJK SC" w:hAnsi="Noto Sans CJK SC" w:eastAsia="Noto Sans CJK SC"/>
        </w:rPr>
        <w:t>附录 C：实施前检查清单</w:t>
      </w:r>
      <w:bookmarkEnd w:id="150"/>
    </w:p>
    <w:p>
      <w:pPr>
        <w:widowControl/>
      </w:pPr>
      <w:r>
        <w:rPr>
          <w:rFonts w:ascii="Noto Sans CJK SC" w:hAnsi="Noto Sans CJK SC" w:eastAsia="Noto Sans CJK SC"/>
          <w:sz w:val="20"/>
        </w:rPr>
        <w:t>☐ 确认当前 Codex 版本、配置目录和认证方式。</w:t>
      </w:r>
    </w:p>
    <w:p>
      <w:pPr>
        <w:widowControl/>
      </w:pPr>
      <w:r>
        <w:rPr>
          <w:rFonts w:ascii="Noto Sans CJK SC" w:hAnsi="Noto Sans CJK SC" w:eastAsia="Noto Sans CJK SC"/>
          <w:sz w:val="20"/>
        </w:rPr>
        <w:t>☐ 备份 ~/.codex/config.toml、profile 文件和会话索引。</w:t>
      </w:r>
    </w:p>
    <w:p>
      <w:pPr>
        <w:widowControl/>
      </w:pPr>
      <w:r>
        <w:rPr>
          <w:rFonts w:ascii="Noto Sans CJK SC" w:hAnsi="Noto Sans CJK SC" w:eastAsia="Noto Sans CJK SC"/>
          <w:sz w:val="20"/>
        </w:rPr>
        <w:t>☐ 为 DeepSeek 与 Kimi 创建独立 API Key，并存入安全凭据存储。</w:t>
      </w:r>
    </w:p>
    <w:p>
      <w:pPr>
        <w:widowControl/>
      </w:pPr>
      <w:r>
        <w:rPr>
          <w:rFonts w:ascii="Noto Sans CJK SC" w:hAnsi="Noto Sans CJK SC" w:eastAsia="Noto Sans CJK SC"/>
          <w:sz w:val="20"/>
        </w:rPr>
        <w:t>☐ 确认本地 8787 端口未被占用，防火墙不开放外网访问。</w:t>
      </w:r>
    </w:p>
    <w:p>
      <w:pPr>
        <w:widowControl/>
      </w:pPr>
      <w:r>
        <w:rPr>
          <w:rFonts w:ascii="Noto Sans CJK SC" w:hAnsi="Noto Sans CJK SC" w:eastAsia="Noto Sans CJK SC"/>
          <w:sz w:val="20"/>
        </w:rPr>
        <w:t>☐ 用固定临时仓库录制 Codex 文本、工具、流式请求 fixture。</w:t>
      </w:r>
    </w:p>
    <w:p>
      <w:pPr>
        <w:widowControl/>
      </w:pPr>
      <w:r>
        <w:rPr>
          <w:rFonts w:ascii="Noto Sans CJK SC" w:hAnsi="Noto Sans CJK SC" w:eastAsia="Noto Sans CJK SC"/>
          <w:sz w:val="20"/>
        </w:rPr>
        <w:t>☐ 完成 DeepSeek 与 Kimi 的余额、模型发现和最小调用测试。</w:t>
      </w:r>
    </w:p>
    <w:p>
      <w:pPr>
        <w:widowControl/>
      </w:pPr>
      <w:r>
        <w:rPr>
          <w:rFonts w:ascii="Noto Sans CJK SC" w:hAnsi="Noto Sans CJK SC" w:eastAsia="Noto Sans CJK SC"/>
          <w:sz w:val="20"/>
        </w:rPr>
        <w:t>☐ 在安装 UI 覆盖层前，先通过 CLI 验证 Shell 与 apply_patch。</w:t>
      </w:r>
    </w:p>
    <w:p>
      <w:pPr>
        <w:widowControl/>
      </w:pPr>
      <w:r>
        <w:rPr>
          <w:rFonts w:ascii="Noto Sans CJK SC" w:hAnsi="Noto Sans CJK SC" w:eastAsia="Noto Sans CJK SC"/>
          <w:sz w:val="20"/>
        </w:rPr>
        <w:t>☐ 验证 cmp rollback 能恢复原生 OpenAI profile。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91" w:right="1134" w:bottom="1020" w:left="1247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Noto Sans CJK SC" w:hAnsi="Noto Sans CJK SC" w:eastAsia="Noto Sans CJK SC"/>
        <w:color w:val="5C6670"/>
        <w:sz w:val="16"/>
      </w:rPr>
      <w:t>版本 v1.0 · 设计基线 2026-08-05</w:t>
    </w:r>
    <w:r>
      <w:tab/>
    </w:r>
    <w:r>
      <w:rPr>
        <w:rFonts w:ascii="Noto Sans CJK SC" w:hAnsi="Noto Sans CJK SC" w:eastAsia="Noto Sans CJK SC"/>
        <w:color w:val="5C6670"/>
        <w:sz w:val="16"/>
      </w:rPr>
      <w:t xml:space="preserve">第 </w:t>
      <w:fldChar w:fldCharType="begin"/>
      <w:instrText xml:space="preserve"> PAGE </w:instrText>
      <w:fldChar w:fldCharType="end"/>
    </w:r>
    <w:r>
      <w:rPr>
        <w:rFonts w:ascii="Noto Sans CJK SC" w:hAnsi="Noto Sans CJK SC" w:eastAsia="Noto Sans CJK SC"/>
        <w:color w:val="5C6670"/>
        <w:sz w:val="16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  <w:pBdr>
        <w:bottom w:val="single" w:sz="4" w:space="1" w:color="CBD3DA"/>
      </w:pBdr>
    </w:pPr>
    <w:r>
      <w:rPr>
        <w:rFonts w:ascii="Noto Sans CJK SC" w:hAnsi="Noto Sans CJK SC" w:eastAsia="Noto Sans CJK SC"/>
        <w:color w:val="5C6670"/>
        <w:sz w:val="17"/>
      </w:rPr>
      <w:t>Codex 多模型接入与体验增强系统 · 详细设计方案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24" w:lineRule="auto" w:after="100"/>
      <w:jc w:val="both"/>
    </w:pPr>
    <w:rPr>
      <w:rFonts w:ascii="Noto Sans CJK SC" w:hAnsi="Noto Sans CJK SC" w:eastAsia="Noto Sans CJK SC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9324D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0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F6B9A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 w:after="6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0272E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200" w:line="240" w:lineRule="auto" w:before="0"/>
      <w:contextualSpacing/>
    </w:pPr>
    <w:rPr>
      <w:rFonts w:asciiTheme="majorHAnsi" w:eastAsiaTheme="majorEastAsia" w:hAnsiTheme="majorHAnsi" w:cstheme="majorBidi" w:ascii="Noto Sans CJK SC" w:hAnsi="Noto Sans CJK SC" w:eastAsia="Noto Sans CJK SC"/>
      <w:b/>
      <w:color w:val="19324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120"/>
    </w:pPr>
    <w:rPr>
      <w:rFonts w:asciiTheme="majorHAnsi" w:eastAsiaTheme="majorEastAsia" w:hAnsiTheme="majorHAnsi" w:cstheme="majorBidi" w:ascii="Noto Sans CJK SC" w:hAnsi="Noto Sans CJK SC" w:eastAsia="Noto Sans CJK SC"/>
      <w:b/>
      <w:i/>
      <w:iCs/>
      <w:color w:val="5C6670"/>
      <w:spacing w:val="15"/>
      <w:sz w:val="2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pPr>
      <w:spacing w:line="276" w:lineRule="auto" w:after="60"/>
    </w:pPr>
    <w:rPr>
      <w:rFonts w:ascii="Noto Sans CJK SC" w:hAnsi="Noto Sans CJK SC" w:eastAsia="Noto Sans CJK SC"/>
      <w:color w:val="5C6670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Relationship Id="rId15" Type="http://schemas.openxmlformats.org/officeDocument/2006/relationships/hyperlink" Target="https://learn.chatgpt.com/docs/config-file/config-reference" TargetMode="External"/><Relationship Id="rId16" Type="http://schemas.openxmlformats.org/officeDocument/2006/relationships/hyperlink" Target="https://learn.chatgpt.com/docs/auth" TargetMode="External"/><Relationship Id="rId17" Type="http://schemas.openxmlformats.org/officeDocument/2006/relationships/hyperlink" Target="https://api-docs.deepseek.com/" TargetMode="External"/><Relationship Id="rId18" Type="http://schemas.openxmlformats.org/officeDocument/2006/relationships/hyperlink" Target="https://api-docs.deepseek.com/zh-cn/api/get-user-balance" TargetMode="External"/><Relationship Id="rId19" Type="http://schemas.openxmlformats.org/officeDocument/2006/relationships/hyperlink" Target="https://platform.kimi.com/docs/api/overview" TargetMode="External"/><Relationship Id="rId20" Type="http://schemas.openxmlformats.org/officeDocument/2006/relationships/hyperlink" Target="https://platform.kimi.com/docs/api/balance" TargetMode="External"/><Relationship Id="rId21" Type="http://schemas.openxmlformats.org/officeDocument/2006/relationships/hyperlink" Target="https://github.com/openai/codex/issues/23417" TargetMode="External"/><Relationship Id="rId22" Type="http://schemas.openxmlformats.org/officeDocument/2006/relationships/hyperlink" Target="https://github.com/openai/codex/issues/24648" TargetMode="External"/><Relationship Id="rId23" Type="http://schemas.openxmlformats.org/officeDocument/2006/relationships/hyperlink" Target="https://github.com/EmiyaKatuz/Codex-Dream-Skin-Needy-Girl-Overdo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Codex 多模型接入与体验增强系统详细设计方案</dc:title>
  <dc:subject>Codex 多 Provider 网关、会话连续性、余额与 UI 增强设计</dc:subject>
  <dc:creator>设计方案草案</dc:creator>
  <cp:keywords>Codex, 多模型, DeepSeek, Kimi, Responses API, Provider Gateway</cp:keywords>
  <dc:description>基于 2026-08-05 的设计基线生成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